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highlight w:val="none"/>
          <w:lang w:val="en-US" w:eastAsia="zh-CN"/>
        </w:rPr>
      </w:pPr>
    </w:p>
    <w:p w14:paraId="6B822749">
      <w:pPr>
        <w:rPr>
          <w:rFonts w:hint="eastAsia"/>
          <w:highlight w:val="none"/>
          <w:lang w:val="en-US" w:eastAsia="zh-CN"/>
        </w:rPr>
      </w:pPr>
    </w:p>
    <w:p w14:paraId="1AF09EFF">
      <w:pPr>
        <w:jc w:val="center"/>
        <w:rPr>
          <w:rFonts w:hint="eastAsia"/>
          <w:b/>
          <w:bCs/>
          <w:sz w:val="84"/>
          <w:szCs w:val="84"/>
          <w:highlight w:val="none"/>
          <w:lang w:val="en-US" w:eastAsia="zh-CN"/>
        </w:rPr>
      </w:pPr>
    </w:p>
    <w:p w14:paraId="3CCF2768">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3668B944">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9CB864">
      <w:pPr>
        <w:jc w:val="center"/>
        <w:rPr>
          <w:rFonts w:hint="eastAsia"/>
          <w:b/>
          <w:bCs/>
          <w:sz w:val="44"/>
          <w:szCs w:val="44"/>
          <w:highlight w:val="none"/>
          <w:lang w:val="en-US" w:eastAsia="zh-CN"/>
        </w:rPr>
      </w:pPr>
    </w:p>
    <w:p w14:paraId="2B9D3DFE">
      <w:pPr>
        <w:rPr>
          <w:rFonts w:hint="eastAsia"/>
          <w:sz w:val="32"/>
          <w:szCs w:val="32"/>
          <w:highlight w:val="none"/>
          <w:lang w:val="en-US" w:eastAsia="zh-CN"/>
        </w:rPr>
      </w:pPr>
    </w:p>
    <w:p w14:paraId="48824379">
      <w:pPr>
        <w:rPr>
          <w:rFonts w:hint="eastAsia"/>
          <w:sz w:val="32"/>
          <w:szCs w:val="32"/>
          <w:highlight w:val="none"/>
          <w:lang w:val="en-US" w:eastAsia="zh-CN"/>
        </w:rPr>
      </w:pPr>
    </w:p>
    <w:p w14:paraId="7A783359">
      <w:pPr>
        <w:rPr>
          <w:rFonts w:hint="eastAsia"/>
          <w:sz w:val="32"/>
          <w:szCs w:val="32"/>
          <w:highlight w:val="none"/>
          <w:lang w:val="en-US" w:eastAsia="zh-CN"/>
        </w:rPr>
      </w:pPr>
    </w:p>
    <w:p w14:paraId="6109D1C2">
      <w:pPr>
        <w:rPr>
          <w:rFonts w:hint="eastAsia"/>
          <w:sz w:val="32"/>
          <w:szCs w:val="32"/>
          <w:highlight w:val="none"/>
          <w:lang w:val="en-US" w:eastAsia="zh-CN"/>
        </w:rPr>
      </w:pPr>
    </w:p>
    <w:p w14:paraId="1A1DC98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项目名称：人血浆样本非靶代谢LCMS检测（第二次</w:t>
      </w:r>
      <w:bookmarkStart w:id="7" w:name="_GoBack"/>
      <w:bookmarkEnd w:id="7"/>
      <w:r>
        <w:rPr>
          <w:rFonts w:hint="eastAsia"/>
          <w:sz w:val="44"/>
          <w:szCs w:val="44"/>
          <w:highlight w:val="none"/>
          <w:lang w:val="en-US" w:eastAsia="zh-CN"/>
        </w:rPr>
        <w:t>）</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编号：BSRMYY-YNCG-2025-08012</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00D59933">
      <w:pPr>
        <w:rPr>
          <w:rFonts w:hint="eastAsia"/>
          <w:sz w:val="44"/>
          <w:szCs w:val="44"/>
          <w:highlight w:val="none"/>
          <w:lang w:val="en-US" w:eastAsia="zh-CN"/>
        </w:rPr>
      </w:pPr>
      <w:r>
        <w:rPr>
          <w:rFonts w:hint="eastAsia"/>
          <w:sz w:val="44"/>
          <w:szCs w:val="44"/>
          <w:highlight w:val="none"/>
          <w:lang w:val="en-US" w:eastAsia="zh-CN"/>
        </w:rPr>
        <w:br w:type="page"/>
      </w:r>
    </w:p>
    <w:p w14:paraId="09787943">
      <w:pPr>
        <w:jc w:val="center"/>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采购需求介绍</w:t>
      </w:r>
    </w:p>
    <w:p w14:paraId="4918220D">
      <w:pPr>
        <w:pStyle w:val="2"/>
        <w:pageBreakBefore w:val="0"/>
        <w:numPr>
          <w:ilvl w:val="0"/>
          <w:numId w:val="3"/>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采购项目介绍</w:t>
      </w:r>
    </w:p>
    <w:tbl>
      <w:tblPr>
        <w:tblStyle w:val="14"/>
        <w:tblW w:w="554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7"/>
        <w:gridCol w:w="2267"/>
        <w:gridCol w:w="1434"/>
        <w:gridCol w:w="2083"/>
        <w:gridCol w:w="2049"/>
        <w:gridCol w:w="2120"/>
      </w:tblGrid>
      <w:tr w14:paraId="590577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42" w:type="pct"/>
            <w:vAlign w:val="center"/>
          </w:tcPr>
          <w:p w14:paraId="100FCC84">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序号</w:t>
            </w:r>
          </w:p>
        </w:tc>
        <w:tc>
          <w:tcPr>
            <w:tcW w:w="1038" w:type="pct"/>
            <w:vAlign w:val="center"/>
          </w:tcPr>
          <w:p w14:paraId="4C8517E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项目</w:t>
            </w:r>
            <w:r>
              <w:rPr>
                <w:rFonts w:hint="eastAsia" w:ascii="方正仿宋_GBK" w:hAnsi="方正仿宋_GBK" w:eastAsia="方正仿宋_GBK" w:cs="方正仿宋_GBK"/>
                <w:b/>
                <w:bCs/>
                <w:kern w:val="0"/>
                <w:sz w:val="28"/>
                <w:szCs w:val="28"/>
                <w:highlight w:val="none"/>
              </w:rPr>
              <w:t>名称</w:t>
            </w:r>
          </w:p>
        </w:tc>
        <w:tc>
          <w:tcPr>
            <w:tcW w:w="656" w:type="pct"/>
            <w:vAlign w:val="center"/>
          </w:tcPr>
          <w:p w14:paraId="3C2F73F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数量（例）</w:t>
            </w:r>
          </w:p>
        </w:tc>
        <w:tc>
          <w:tcPr>
            <w:tcW w:w="953" w:type="pct"/>
            <w:vAlign w:val="center"/>
          </w:tcPr>
          <w:p w14:paraId="53E0CCC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938" w:type="pct"/>
            <w:vAlign w:val="center"/>
          </w:tcPr>
          <w:p w14:paraId="7808EE5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eastAsia="zh-CN"/>
              </w:rPr>
              <w:t>合计总价（元）</w:t>
            </w:r>
          </w:p>
        </w:tc>
        <w:tc>
          <w:tcPr>
            <w:tcW w:w="970" w:type="pct"/>
            <w:vAlign w:val="center"/>
          </w:tcPr>
          <w:p w14:paraId="4EF685C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val="0"/>
                <w:bCs w:val="0"/>
                <w:color w:val="000000" w:themeColor="text1"/>
                <w:kern w:val="0"/>
                <w:sz w:val="28"/>
                <w:szCs w:val="28"/>
                <w:highlight w:val="none"/>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highlight w:val="none"/>
                <w:lang w:eastAsia="zh-CN"/>
                <w14:textFill>
                  <w14:solidFill>
                    <w14:schemeClr w14:val="tx1"/>
                  </w14:solidFill>
                </w14:textFill>
              </w:rPr>
              <w:t>服务期限（年）</w:t>
            </w:r>
          </w:p>
        </w:tc>
      </w:tr>
      <w:tr w14:paraId="54F32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53" w:hRule="atLeast"/>
          <w:jc w:val="center"/>
        </w:trPr>
        <w:tc>
          <w:tcPr>
            <w:tcW w:w="442" w:type="pct"/>
            <w:vAlign w:val="center"/>
          </w:tcPr>
          <w:p w14:paraId="79DD3241">
            <w:pPr>
              <w:pStyle w:val="26"/>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1</w:t>
            </w:r>
          </w:p>
        </w:tc>
        <w:tc>
          <w:tcPr>
            <w:tcW w:w="1038" w:type="pct"/>
            <w:vAlign w:val="center"/>
          </w:tcPr>
          <w:p w14:paraId="0586508B">
            <w:pPr>
              <w:jc w:val="left"/>
              <w:rPr>
                <w:rFonts w:hint="eastAsia" w:ascii="方正仿宋_GBK" w:hAnsi="方正仿宋_GBK" w:eastAsia="微软雅黑" w:cs="方正仿宋_GBK"/>
                <w:sz w:val="24"/>
                <w:szCs w:val="24"/>
                <w:highlight w:val="none"/>
                <w:lang w:val="en-US" w:eastAsia="zh-CN"/>
              </w:rPr>
            </w:pPr>
            <w:r>
              <w:rPr>
                <w:rFonts w:hint="eastAsia" w:ascii="方正仿宋_GBK" w:hAnsi="方正仿宋_GBK" w:eastAsia="方正仿宋_GBK" w:cs="方正仿宋_GBK"/>
                <w:b/>
                <w:bCs/>
                <w:kern w:val="2"/>
                <w:sz w:val="28"/>
                <w:szCs w:val="28"/>
                <w:highlight w:val="none"/>
                <w:lang w:val="en-US" w:eastAsia="zh-CN" w:bidi="ar-SA"/>
              </w:rPr>
              <w:t>人血浆样本非靶代谢LCMS检测</w:t>
            </w:r>
          </w:p>
        </w:tc>
        <w:tc>
          <w:tcPr>
            <w:tcW w:w="656" w:type="pct"/>
            <w:vAlign w:val="center"/>
          </w:tcPr>
          <w:p w14:paraId="2F113F89">
            <w:pPr>
              <w:jc w:val="center"/>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400</w:t>
            </w:r>
          </w:p>
        </w:tc>
        <w:tc>
          <w:tcPr>
            <w:tcW w:w="953" w:type="pct"/>
            <w:vAlign w:val="center"/>
          </w:tcPr>
          <w:p w14:paraId="65042AF6">
            <w:pPr>
              <w:jc w:val="center"/>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160</w:t>
            </w:r>
          </w:p>
        </w:tc>
        <w:tc>
          <w:tcPr>
            <w:tcW w:w="938" w:type="pct"/>
            <w:vAlign w:val="center"/>
          </w:tcPr>
          <w:p w14:paraId="3BEB525A">
            <w:pPr>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b/>
                <w:bCs/>
                <w:kern w:val="2"/>
                <w:sz w:val="28"/>
                <w:szCs w:val="28"/>
                <w:highlight w:val="none"/>
                <w:lang w:val="en-US" w:eastAsia="zh-CN" w:bidi="ar-SA"/>
              </w:rPr>
              <w:t>64000</w:t>
            </w:r>
          </w:p>
        </w:tc>
        <w:tc>
          <w:tcPr>
            <w:tcW w:w="970" w:type="pct"/>
            <w:vAlign w:val="center"/>
          </w:tcPr>
          <w:p w14:paraId="3F235CE6">
            <w:pPr>
              <w:jc w:val="center"/>
              <w:rPr>
                <w:rFonts w:hint="default" w:ascii="方正仿宋_GBK" w:hAnsi="方正仿宋_GBK" w:eastAsia="方正仿宋_GBK" w:cs="方正仿宋_GBK"/>
                <w:b w:val="0"/>
                <w:bCs w:val="0"/>
                <w:color w:val="000000" w:themeColor="text1"/>
                <w:kern w:val="2"/>
                <w:sz w:val="28"/>
                <w:szCs w:val="28"/>
                <w:highlight w:val="none"/>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highlight w:val="none"/>
                <w:lang w:val="en-US" w:eastAsia="zh-CN" w:bidi="ar-SA"/>
                <w14:textFill>
                  <w14:solidFill>
                    <w14:schemeClr w14:val="tx1"/>
                  </w14:solidFill>
                </w14:textFill>
              </w:rPr>
              <w:t>1</w:t>
            </w:r>
          </w:p>
        </w:tc>
      </w:tr>
    </w:tbl>
    <w:p w14:paraId="550A0A2D">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技术要求（需全部满足）</w:t>
      </w:r>
    </w:p>
    <w:tbl>
      <w:tblPr>
        <w:tblStyle w:val="14"/>
        <w:tblW w:w="531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92"/>
        <w:gridCol w:w="2291"/>
        <w:gridCol w:w="7386"/>
      </w:tblGrid>
      <w:tr w14:paraId="0704C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78" w:type="pct"/>
            <w:vAlign w:val="center"/>
          </w:tcPr>
          <w:p w14:paraId="2A12B4EE">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序号</w:t>
            </w:r>
          </w:p>
        </w:tc>
        <w:tc>
          <w:tcPr>
            <w:tcW w:w="1094" w:type="pct"/>
            <w:vAlign w:val="center"/>
          </w:tcPr>
          <w:p w14:paraId="35A4EED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名称</w:t>
            </w:r>
          </w:p>
        </w:tc>
        <w:tc>
          <w:tcPr>
            <w:tcW w:w="3527" w:type="pct"/>
            <w:vAlign w:val="center"/>
          </w:tcPr>
          <w:p w14:paraId="4472D0B1">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服务内容</w:t>
            </w:r>
          </w:p>
        </w:tc>
      </w:tr>
      <w:tr w14:paraId="0D602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83" w:hRule="atLeast"/>
          <w:jc w:val="center"/>
        </w:trPr>
        <w:tc>
          <w:tcPr>
            <w:tcW w:w="378" w:type="pct"/>
            <w:shd w:val="clear" w:color="auto" w:fill="auto"/>
            <w:vAlign w:val="center"/>
          </w:tcPr>
          <w:p w14:paraId="117D9A07">
            <w:pPr>
              <w:pStyle w:val="26"/>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sz w:val="28"/>
                <w:szCs w:val="28"/>
                <w:highlight w:val="none"/>
                <w:lang w:val="en-US" w:eastAsia="zh-CN"/>
              </w:rPr>
              <w:t>1</w:t>
            </w:r>
          </w:p>
        </w:tc>
        <w:tc>
          <w:tcPr>
            <w:tcW w:w="1094" w:type="pct"/>
            <w:shd w:val="clear" w:color="auto" w:fill="auto"/>
            <w:vAlign w:val="center"/>
          </w:tcPr>
          <w:p w14:paraId="34447689">
            <w:pPr>
              <w:jc w:val="left"/>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人血浆样本非靶代谢LCMS检测</w:t>
            </w:r>
          </w:p>
        </w:tc>
        <w:tc>
          <w:tcPr>
            <w:tcW w:w="3527" w:type="pct"/>
            <w:shd w:val="clear" w:color="auto" w:fill="auto"/>
            <w:vAlign w:val="center"/>
          </w:tcPr>
          <w:p w14:paraId="0ABA1885">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提取目标代谢物，混样制备QC样本</w:t>
            </w:r>
            <w:r>
              <w:rPr>
                <w:rFonts w:hint="eastAsia" w:ascii="方正仿宋_GBK" w:hAnsi="方正仿宋_GBK" w:eastAsia="方正仿宋_GBK" w:cs="方正仿宋_GBK"/>
                <w:b/>
                <w:bCs/>
                <w:kern w:val="2"/>
                <w:sz w:val="28"/>
                <w:szCs w:val="28"/>
                <w:highlight w:val="none"/>
                <w:lang w:val="en-US" w:eastAsia="zh-CN" w:bidi="ar-SA"/>
              </w:rPr>
              <w:t>；</w:t>
            </w:r>
          </w:p>
          <w:p w14:paraId="04100263">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jc w:val="left"/>
              <w:textAlignment w:val="auto"/>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使用高分辨液质联用质谱仪Orbitrap-HFX进行正、负离模式数据采集，数据质量监控</w:t>
            </w:r>
            <w:r>
              <w:rPr>
                <w:rFonts w:hint="eastAsia" w:ascii="方正仿宋_GBK" w:hAnsi="方正仿宋_GBK" w:eastAsia="方正仿宋_GBK" w:cs="方正仿宋_GBK"/>
                <w:b/>
                <w:bCs/>
                <w:kern w:val="2"/>
                <w:sz w:val="28"/>
                <w:szCs w:val="28"/>
                <w:highlight w:val="none"/>
                <w:lang w:val="en-US" w:eastAsia="zh-CN" w:bidi="ar-SA"/>
              </w:rPr>
              <w:t>；</w:t>
            </w:r>
          </w:p>
          <w:p w14:paraId="09B6CC2E">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jc w:val="left"/>
              <w:textAlignment w:val="auto"/>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搜库：将实验中获得的代谢物色谱质谱信息与已知的代谢物数据库进行比对和匹配，以确定代谢物的种类和结构；</w:t>
            </w:r>
          </w:p>
          <w:p w14:paraId="78E225CE">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jc w:val="left"/>
              <w:textAlignment w:val="auto"/>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提供交互分析结果，完成标准分析、高级分析：包括时序分析、WGCNA分析、多因素相关性网络图、MIMOSA2分析、机器学习、KEGG调控网络图、GSEA富集分析、分子分型、生存分析等</w:t>
            </w:r>
            <w:r>
              <w:rPr>
                <w:rFonts w:hint="eastAsia" w:ascii="方正仿宋_GBK" w:hAnsi="方正仿宋_GBK" w:eastAsia="方正仿宋_GBK" w:cs="方正仿宋_GBK"/>
                <w:b/>
                <w:bCs/>
                <w:kern w:val="2"/>
                <w:sz w:val="28"/>
                <w:szCs w:val="28"/>
                <w:highlight w:val="none"/>
                <w:lang w:val="en-US" w:eastAsia="zh-CN" w:bidi="ar-SA"/>
              </w:rPr>
              <w:t>；</w:t>
            </w:r>
          </w:p>
          <w:p w14:paraId="52A953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color w:val="auto"/>
                <w:kern w:val="2"/>
                <w:sz w:val="28"/>
                <w:szCs w:val="28"/>
                <w:highlight w:val="none"/>
                <w:lang w:val="en-US" w:eastAsia="zh-CN" w:bidi="ar-SA"/>
              </w:rPr>
              <w:t>5.根据采购人要求提供</w:t>
            </w:r>
            <w:r>
              <w:rPr>
                <w:rFonts w:hint="default" w:ascii="方正仿宋_GBK" w:hAnsi="方正仿宋_GBK" w:eastAsia="方正仿宋_GBK" w:cs="方正仿宋_GBK"/>
                <w:b/>
                <w:bCs/>
                <w:color w:val="auto"/>
                <w:kern w:val="2"/>
                <w:sz w:val="28"/>
                <w:szCs w:val="28"/>
                <w:highlight w:val="none"/>
                <w:lang w:val="en-US" w:eastAsia="zh-CN" w:bidi="ar-SA"/>
              </w:rPr>
              <w:t>售后分析</w:t>
            </w:r>
            <w:r>
              <w:rPr>
                <w:rFonts w:hint="eastAsia" w:ascii="方正仿宋_GBK" w:hAnsi="方正仿宋_GBK" w:eastAsia="方正仿宋_GBK" w:cs="方正仿宋_GBK"/>
                <w:b/>
                <w:bCs/>
                <w:color w:val="auto"/>
                <w:kern w:val="2"/>
                <w:sz w:val="28"/>
                <w:szCs w:val="28"/>
                <w:highlight w:val="none"/>
                <w:lang w:val="en-US" w:eastAsia="zh-CN" w:bidi="ar-SA"/>
              </w:rPr>
              <w:t>及调整</w:t>
            </w:r>
            <w:r>
              <w:rPr>
                <w:rFonts w:hint="default" w:ascii="方正仿宋_GBK" w:hAnsi="方正仿宋_GBK" w:eastAsia="方正仿宋_GBK" w:cs="方正仿宋_GBK"/>
                <w:b/>
                <w:bCs/>
                <w:color w:val="auto"/>
                <w:kern w:val="2"/>
                <w:sz w:val="28"/>
                <w:szCs w:val="28"/>
                <w:highlight w:val="none"/>
                <w:lang w:val="en-US" w:eastAsia="zh-CN" w:bidi="ar-SA"/>
              </w:rPr>
              <w:t>服务</w:t>
            </w:r>
            <w:r>
              <w:rPr>
                <w:rFonts w:hint="eastAsia" w:ascii="方正仿宋_GBK" w:hAnsi="方正仿宋_GBK" w:eastAsia="方正仿宋_GBK" w:cs="方正仿宋_GBK"/>
                <w:b/>
                <w:bCs/>
                <w:kern w:val="2"/>
                <w:sz w:val="28"/>
                <w:szCs w:val="28"/>
                <w:highlight w:val="none"/>
                <w:lang w:val="en-US" w:eastAsia="zh-CN" w:bidi="ar-SA"/>
              </w:rPr>
              <w:t>（</w:t>
            </w:r>
            <w:r>
              <w:rPr>
                <w:rFonts w:hint="default" w:ascii="方正仿宋_GBK" w:hAnsi="方正仿宋_GBK" w:eastAsia="方正仿宋_GBK" w:cs="方正仿宋_GBK"/>
                <w:b/>
                <w:bCs/>
                <w:kern w:val="2"/>
                <w:sz w:val="28"/>
                <w:szCs w:val="28"/>
                <w:highlight w:val="none"/>
                <w:lang w:val="en-US" w:eastAsia="zh-CN" w:bidi="ar-SA"/>
              </w:rPr>
              <w:t>包括</w:t>
            </w:r>
            <w:r>
              <w:rPr>
                <w:rFonts w:hint="eastAsia" w:ascii="方正仿宋_GBK" w:hAnsi="方正仿宋_GBK" w:eastAsia="方正仿宋_GBK" w:cs="方正仿宋_GBK"/>
                <w:b/>
                <w:bCs/>
                <w:kern w:val="2"/>
                <w:sz w:val="28"/>
                <w:szCs w:val="28"/>
                <w:highlight w:val="none"/>
                <w:lang w:val="en-US" w:eastAsia="zh-CN" w:bidi="ar-SA"/>
              </w:rPr>
              <w:t>数据</w:t>
            </w:r>
            <w:r>
              <w:rPr>
                <w:rFonts w:hint="default" w:ascii="方正仿宋_GBK" w:hAnsi="方正仿宋_GBK" w:eastAsia="方正仿宋_GBK" w:cs="方正仿宋_GBK"/>
                <w:b/>
                <w:bCs/>
                <w:kern w:val="2"/>
                <w:sz w:val="28"/>
                <w:szCs w:val="28"/>
                <w:highlight w:val="none"/>
                <w:lang w:val="en-US" w:eastAsia="zh-CN" w:bidi="ar-SA"/>
              </w:rPr>
              <w:t>分析</w:t>
            </w:r>
            <w:r>
              <w:rPr>
                <w:rFonts w:hint="eastAsia" w:ascii="方正仿宋_GBK" w:hAnsi="方正仿宋_GBK" w:eastAsia="方正仿宋_GBK" w:cs="方正仿宋_GBK"/>
                <w:b/>
                <w:bCs/>
                <w:kern w:val="2"/>
                <w:sz w:val="28"/>
                <w:szCs w:val="28"/>
                <w:highlight w:val="none"/>
                <w:lang w:val="en-US" w:eastAsia="zh-CN" w:bidi="ar-SA"/>
              </w:rPr>
              <w:t>调整、数据个性化分析、</w:t>
            </w:r>
            <w:r>
              <w:rPr>
                <w:rFonts w:hint="default" w:ascii="方正仿宋_GBK" w:hAnsi="方正仿宋_GBK" w:eastAsia="方正仿宋_GBK" w:cs="方正仿宋_GBK"/>
                <w:b/>
                <w:bCs/>
                <w:kern w:val="2"/>
                <w:sz w:val="28"/>
                <w:szCs w:val="28"/>
                <w:highlight w:val="none"/>
                <w:lang w:val="en-US" w:eastAsia="zh-CN" w:bidi="ar-SA"/>
              </w:rPr>
              <w:t>结果呈图方式和配色的调整</w:t>
            </w:r>
            <w:r>
              <w:rPr>
                <w:rFonts w:hint="eastAsia" w:ascii="方正仿宋_GBK" w:hAnsi="方正仿宋_GBK" w:eastAsia="方正仿宋_GBK" w:cs="方正仿宋_GBK"/>
                <w:b/>
                <w:bCs/>
                <w:kern w:val="2"/>
                <w:sz w:val="28"/>
                <w:szCs w:val="28"/>
                <w:highlight w:val="none"/>
                <w:lang w:val="en-US" w:eastAsia="zh-CN" w:bidi="ar-SA"/>
              </w:rPr>
              <w:t>等）。</w:t>
            </w:r>
          </w:p>
        </w:tc>
      </w:tr>
    </w:tbl>
    <w:p w14:paraId="58CC3E6E">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商务需求：（需全部满足）</w:t>
      </w:r>
    </w:p>
    <w:p w14:paraId="6C003BDC">
      <w:pPr>
        <w:pStyle w:val="27"/>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baseline"/>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（一）</w:t>
      </w:r>
      <w:r>
        <w:rPr>
          <w:rFonts w:hint="eastAsia" w:ascii="方正仿宋_GBK" w:hAnsi="方正仿宋_GBK" w:eastAsia="方正仿宋_GBK" w:cs="方正仿宋_GBK"/>
          <w:b/>
          <w:bCs/>
          <w:color w:val="auto"/>
          <w:kern w:val="0"/>
          <w:sz w:val="32"/>
          <w:szCs w:val="32"/>
          <w:highlight w:val="none"/>
          <w:lang w:val="en-US" w:eastAsia="zh-CN"/>
        </w:rPr>
        <w:t>供应商资格条件</w:t>
      </w:r>
    </w:p>
    <w:p w14:paraId="59EBBDD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6DC44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.具有独立承担民事责任的能力</w:t>
      </w:r>
      <w:r>
        <w:rPr>
          <w:rFonts w:hint="eastAsia" w:ascii="方正仿宋_GBK" w:hAnsi="方正仿宋_GBK" w:eastAsia="方正仿宋_GBK" w:cs="方正仿宋_GBK"/>
          <w:color w:val="auto"/>
          <w:sz w:val="32"/>
          <w:szCs w:val="32"/>
          <w:highlight w:val="none"/>
          <w:lang w:eastAsia="zh-CN"/>
        </w:rPr>
        <w:t>；如公司营业执照（须圈出符合资质要求的经营范围和有效期）；</w:t>
      </w:r>
    </w:p>
    <w:p w14:paraId="43DDD13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具有良好的商业信誉和健全的财务会计制度（提供承诺函）；</w:t>
      </w:r>
    </w:p>
    <w:p w14:paraId="0CF485E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3.具有履行合同所必需的设备和专业技术能力（提供承诺函）；</w:t>
      </w:r>
    </w:p>
    <w:p w14:paraId="0896000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4.有依法缴纳税收和社会保障资金的良好记录（提供承诺函）；</w:t>
      </w:r>
    </w:p>
    <w:p w14:paraId="35DA071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5.参加政府采购活动前三年内，在经营活动中没有重大违法记录（提供承诺函）；</w:t>
      </w:r>
    </w:p>
    <w:p w14:paraId="4A06466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43F13B6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特定资格条件</w:t>
      </w:r>
      <w:r>
        <w:rPr>
          <w:rFonts w:hint="eastAsia" w:ascii="方正仿宋_GBK" w:hAnsi="方正仿宋_GBK" w:eastAsia="方正仿宋_GBK" w:cs="方正仿宋_GBK"/>
          <w:color w:val="auto"/>
          <w:sz w:val="32"/>
          <w:szCs w:val="32"/>
          <w:highlight w:val="none"/>
          <w:lang w:eastAsia="zh-CN"/>
        </w:rPr>
        <w:t>：</w:t>
      </w:r>
    </w:p>
    <w:p w14:paraId="57FFD41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1、提供2024年至今1份类似项目的合同和发票/验收记录；</w:t>
      </w:r>
    </w:p>
    <w:p w14:paraId="06ECC69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2、提供完成本项目所需的人员、实验室相关资质、配套设备、耗材的合格证、注册证或备案证（如没有可提供出厂质检报告）等；</w:t>
      </w:r>
    </w:p>
    <w:p w14:paraId="454FE2A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3.其他法律法规有关规范。</w:t>
      </w:r>
    </w:p>
    <w:p w14:paraId="6C6BF728">
      <w:pPr>
        <w:keepNext w:val="0"/>
        <w:keepLines w:val="0"/>
        <w:pageBreakBefore w:val="0"/>
        <w:widowControl w:val="0"/>
        <w:kinsoku/>
        <w:wordWrap/>
        <w:overflowPunct/>
        <w:topLinePunct w:val="0"/>
        <w:autoSpaceDE/>
        <w:autoSpaceDN/>
        <w:bidi w:val="0"/>
        <w:adjustRightInd/>
        <w:spacing w:line="6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（二）报价要求</w:t>
      </w:r>
    </w:p>
    <w:p w14:paraId="2AE848A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本项目最高限价64000元。报价要求：本次报价采用总价进行报价，包含但不限于项目服务费（包含非靶代谢的代谢物提取、上机检测、</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搜库</w:t>
      </w:r>
      <w:r>
        <w:rPr>
          <w:rFonts w:hint="eastAsia" w:ascii="方正仿宋_GBK" w:hAnsi="方正仿宋_GBK" w:eastAsia="方正仿宋_GBK" w:cs="方正仿宋_GBK"/>
          <w:b w:val="0"/>
          <w:bCs w:val="0"/>
          <w:color w:val="auto"/>
          <w:kern w:val="0"/>
          <w:sz w:val="32"/>
          <w:szCs w:val="32"/>
          <w:highlight w:val="none"/>
          <w:lang w:val="en-US" w:eastAsia="zh-CN"/>
        </w:rPr>
        <w:t>及数据分析、</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售后分析及调整等</w:t>
      </w:r>
      <w:r>
        <w:rPr>
          <w:rFonts w:hint="eastAsia" w:ascii="方正仿宋_GBK" w:hAnsi="方正仿宋_GBK" w:eastAsia="方正仿宋_GBK" w:cs="方正仿宋_GBK"/>
          <w:b w:val="0"/>
          <w:bCs w:val="0"/>
          <w:color w:val="auto"/>
          <w:kern w:val="0"/>
          <w:sz w:val="32"/>
          <w:szCs w:val="32"/>
          <w:highlight w:val="none"/>
          <w:lang w:val="en-US" w:eastAsia="zh-CN"/>
        </w:rPr>
        <w:t>）、配套设备辅材费、样本运输费（包括干冰费、快递费等）、生物安全管理费、资料装订及邮寄费、税费、保险费、数据保密费、验收检测费等完成本项目所需的一切费用。因成交供应商自身原因造成漏报、少报皆由其自行承担责任，采购人不再补偿。供应商报送总价不得超过采购人要求，否则视为无效报价。服务期间发生的安全责任事故由供应商自行承担。</w:t>
      </w:r>
    </w:p>
    <w:p w14:paraId="16E1FAE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（三）合同签订及服务期限</w:t>
      </w:r>
    </w:p>
    <w:p w14:paraId="4A4CEAE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本项目合同期1年，成交供应商在接到成交通知后20日内与采购人签订采购合同和廉政购销协议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61FCBB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本项目要求供应商</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自</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中选后，按采购人通知后2天内取走样本，完成检测后将样本返还采购人（样本运输应符合《中华人民共和国生物安全法》相关要求），2个月通过线上方式完成数据交付（包括实验方法学、测序结果、分析结果等），最长1年时间完成本项目要求的所有服务内容。</w:t>
      </w:r>
    </w:p>
    <w:p w14:paraId="2AE5A1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（四）付款方式</w:t>
      </w:r>
    </w:p>
    <w:p w14:paraId="2239A2A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val="0"/>
          <w:bCs w:val="0"/>
          <w:color w:val="auto"/>
          <w:kern w:val="0"/>
          <w:sz w:val="32"/>
          <w:szCs w:val="32"/>
          <w:highlight w:val="none"/>
          <w:lang w:val="en-US" w:eastAsia="zh-CN"/>
        </w:rPr>
        <w:t>验收合格后，供应商提供验收记录、发票等资料，采购人全额支付。</w:t>
      </w:r>
      <w:r>
        <w:rPr>
          <w:rFonts w:hint="eastAsia" w:ascii="方正仿宋_GBK" w:hAnsi="方正仿宋_GBK" w:eastAsia="方正仿宋_GBK" w:cs="方正仿宋_GBK"/>
          <w:sz w:val="32"/>
          <w:szCs w:val="32"/>
          <w:highlight w:val="none"/>
        </w:rPr>
        <w:t>合作期间项目数量有</w:t>
      </w:r>
      <w:r>
        <w:rPr>
          <w:rFonts w:hint="eastAsia" w:ascii="方正仿宋_GBK" w:hAnsi="方正仿宋_GBK" w:eastAsia="方正仿宋_GBK" w:cs="方正仿宋_GBK"/>
          <w:sz w:val="32"/>
          <w:szCs w:val="32"/>
          <w:highlight w:val="none"/>
          <w:lang w:eastAsia="zh-CN"/>
        </w:rPr>
        <w:t>减少</w:t>
      </w:r>
      <w:r>
        <w:rPr>
          <w:rFonts w:hint="eastAsia" w:ascii="方正仿宋_GBK" w:hAnsi="方正仿宋_GBK" w:eastAsia="方正仿宋_GBK" w:cs="方正仿宋_GBK"/>
          <w:sz w:val="32"/>
          <w:szCs w:val="32"/>
          <w:highlight w:val="none"/>
        </w:rPr>
        <w:t>，按供应商分项报价据实结算。</w:t>
      </w:r>
    </w:p>
    <w:p w14:paraId="15EB734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（五）验收方式</w:t>
      </w:r>
    </w:p>
    <w:p w14:paraId="0711BD8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服务期满进行验收，按照采购招投标文件及服务效果考核要求逐项验收，</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验收产生争议或验收后第三方对数据产生合理质疑</w:t>
      </w:r>
      <w:r>
        <w:rPr>
          <w:rFonts w:hint="eastAsia" w:ascii="方正仿宋_GBK" w:hAnsi="方正仿宋_GBK" w:eastAsia="方正仿宋_GBK" w:cs="方正仿宋_GBK"/>
          <w:b w:val="0"/>
          <w:bCs w:val="0"/>
          <w:color w:val="auto"/>
          <w:kern w:val="0"/>
          <w:sz w:val="32"/>
          <w:szCs w:val="32"/>
          <w:highlight w:val="none"/>
          <w:lang w:val="en-US" w:eastAsia="zh-CN"/>
        </w:rPr>
        <w:t>由采购人邀请第三方机构检测，费用由供应商承担。</w:t>
      </w:r>
    </w:p>
    <w:p w14:paraId="4B24AFDC">
      <w:pPr>
        <w:keepNext w:val="0"/>
        <w:keepLines w:val="0"/>
        <w:pageBreakBefore w:val="0"/>
        <w:widowControl w:val="0"/>
        <w:numPr>
          <w:ilvl w:val="0"/>
          <w:numId w:val="6"/>
        </w:numPr>
        <w:kinsoku/>
        <w:wordWrap/>
        <w:overflowPunct/>
        <w:topLinePunct w:val="0"/>
        <w:autoSpaceDE/>
        <w:autoSpaceDN/>
        <w:bidi w:val="0"/>
        <w:adjustRightInd/>
        <w:snapToGrid w:val="0"/>
        <w:spacing w:line="500" w:lineRule="exact"/>
        <w:ind w:leftChars="0"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服务效果考核标准</w:t>
      </w:r>
    </w:p>
    <w:p w14:paraId="12373DFE">
      <w:pPr>
        <w:keepNext w:val="0"/>
        <w:keepLines w:val="0"/>
        <w:pageBreakBefore w:val="0"/>
        <w:widowControl w:val="0"/>
        <w:numPr>
          <w:ilvl w:val="0"/>
          <w:numId w:val="7"/>
        </w:numPr>
        <w:kinsoku/>
        <w:wordWrap/>
        <w:overflowPunct/>
        <w:topLinePunct w:val="0"/>
        <w:autoSpaceDE/>
        <w:autoSpaceDN/>
        <w:bidi w:val="0"/>
        <w:adjustRightInd/>
        <w:snapToGrid w:val="0"/>
        <w:spacing w:line="500" w:lineRule="exact"/>
        <w:ind w:leftChars="0"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混样制备QC样本，QC样本总离子流图双重色谱基本重叠，PCA效果好，无明显偏离；</w:t>
      </w:r>
    </w:p>
    <w:p w14:paraId="029E9320">
      <w:pPr>
        <w:keepNext w:val="0"/>
        <w:keepLines w:val="0"/>
        <w:pageBreakBefore w:val="0"/>
        <w:widowControl w:val="0"/>
        <w:numPr>
          <w:ilvl w:val="0"/>
          <w:numId w:val="7"/>
        </w:numPr>
        <w:kinsoku/>
        <w:wordWrap/>
        <w:overflowPunct/>
        <w:topLinePunct w:val="0"/>
        <w:autoSpaceDE/>
        <w:autoSpaceDN/>
        <w:bidi w:val="0"/>
        <w:adjustRightInd/>
        <w:snapToGrid w:val="0"/>
        <w:spacing w:line="500" w:lineRule="exact"/>
        <w:ind w:left="0" w:leftChars="0"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每个样本正、负离子模式分开采集，正、负采集时间总和≥16min，且必须每个样本均采集一级及二级离子信息；</w:t>
      </w:r>
    </w:p>
    <w:p w14:paraId="00B02FA4">
      <w:pPr>
        <w:keepNext w:val="0"/>
        <w:keepLines w:val="0"/>
        <w:pageBreakBefore w:val="0"/>
        <w:widowControl w:val="0"/>
        <w:numPr>
          <w:ilvl w:val="0"/>
          <w:numId w:val="7"/>
        </w:numPr>
        <w:kinsoku/>
        <w:wordWrap/>
        <w:overflowPunct/>
        <w:topLinePunct w:val="0"/>
        <w:autoSpaceDE/>
        <w:autoSpaceDN/>
        <w:bidi w:val="0"/>
        <w:adjustRightInd/>
        <w:snapToGrid w:val="0"/>
        <w:spacing w:line="500" w:lineRule="exact"/>
        <w:ind w:left="0" w:leftChars="0"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 xml:space="preserve">数据质量监控：QC样本的TIC响应变化&lt;30%，RT变化&lt;0.2分钟。仪器质量精度&lt;10ppm。   </w:t>
      </w:r>
    </w:p>
    <w:p w14:paraId="3104B13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（七）知识产权</w:t>
      </w:r>
    </w:p>
    <w:p w14:paraId="6A57361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采购人在中华人民共和国境内使用成交供应商提供的服务内容时免受第三方提出的侵犯其专利权或其它知识产权的起诉。如果第三方提出侵权指控，成交供应商应承担由此而引起的一切法律责任和费用。本项目完成后的数据归采购人所有，未经采购人许可不得泄漏给第三方。</w:t>
      </w:r>
    </w:p>
    <w:p w14:paraId="4025A65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（八）配套服务</w:t>
      </w:r>
    </w:p>
    <w:p w14:paraId="7C840B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（1）电话咨询</w:t>
      </w:r>
    </w:p>
    <w:p w14:paraId="62FF38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成交供应商应当为采购人提供技术援助电话，在30分钟内响应解答采购人在使用中遇到的问题，及时为采购人提出解决问题的建议。</w:t>
      </w:r>
    </w:p>
    <w:p w14:paraId="3F5CE7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（2）保密要求</w:t>
      </w:r>
    </w:p>
    <w:p w14:paraId="20D387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 xml:space="preserve"> 未经采购人允许，不得将服务内容提供给第三方。</w:t>
      </w:r>
    </w:p>
    <w:p w14:paraId="4776B6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（3）数据溯源</w:t>
      </w:r>
    </w:p>
    <w:p w14:paraId="20C02A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 xml:space="preserve"> 任何时候，采购人或第三方对数据真实性提出质疑时，供应商应提供客观检测措施对数据结果进行溯源。</w:t>
      </w:r>
    </w:p>
    <w:p w14:paraId="4D4BD2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b/>
          <w:bCs/>
          <w:color w:val="FF0000"/>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（4）培训要求：取样前安排技术人员对样本取样进行培训，</w:t>
      </w:r>
      <w:r>
        <w:rPr>
          <w:rFonts w:hint="eastAsia" w:ascii="方正仿宋_GBK" w:hAnsi="方正仿宋_GBK" w:eastAsia="方正仿宋_GBK" w:cs="方正仿宋_GBK"/>
          <w:b w:val="0"/>
          <w:bCs w:val="0"/>
          <w:color w:val="000000" w:themeColor="text1"/>
          <w:kern w:val="2"/>
          <w:sz w:val="32"/>
          <w:szCs w:val="32"/>
          <w:highlight w:val="none"/>
          <w:lang w:val="en-US" w:eastAsia="zh-CN" w:bidi="zh-CN"/>
          <w14:textFill>
            <w14:solidFill>
              <w14:schemeClr w14:val="tx1"/>
            </w14:solidFill>
          </w14:textFill>
        </w:rPr>
        <w:t>实验结束后安排技术人员按照采购人要求对数据结果分析进行培训指导。</w:t>
      </w:r>
    </w:p>
    <w:p w14:paraId="3019787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（九）违约责任</w:t>
      </w:r>
    </w:p>
    <w:p w14:paraId="75709EE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供应商未按采购人要求时限交付服务内容，每延迟1日，供应商应向采购人支付合同总金额千分之一的违约金，超过10日未能交付，采购人有权单方面解除合同，并要求供应商承担合同总金额30%的违约金；项目验收不合格或使用中发现服务质量缺陷，采购人有权要求供应商整改，整改期限为5日，整改期限届满仍未完成的供应商每日支付合同总金额千分之三的违约金，超过10日未能完成整改，</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采购人有权解除合同，并要求供应商承担合同总金额30%的违约金，已经付款的供应商应全款退还采购人已经支付的款项</w:t>
      </w:r>
      <w:r>
        <w:rPr>
          <w:rFonts w:hint="eastAsia" w:ascii="方正仿宋_GBK" w:hAnsi="方正仿宋_GBK" w:eastAsia="方正仿宋_GBK" w:cs="方正仿宋_GBK"/>
          <w:color w:val="auto"/>
          <w:sz w:val="32"/>
          <w:szCs w:val="32"/>
          <w:highlight w:val="none"/>
          <w:lang w:val="en-US" w:eastAsia="zh-CN"/>
        </w:rPr>
        <w:t>；未按配套服务要求提供服务的，供应商将承担200元/次的违约金。</w:t>
      </w:r>
    </w:p>
    <w:p w14:paraId="3810BCD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或</w:t>
      </w:r>
      <w:r>
        <w:rPr>
          <w:rFonts w:hint="eastAsia" w:ascii="方正仿宋_GBK" w:hAnsi="方正仿宋_GBK" w:eastAsia="方正仿宋_GBK" w:cs="方正仿宋_GBK"/>
          <w:b w:val="0"/>
          <w:bCs w:val="0"/>
          <w:color w:val="auto"/>
          <w:kern w:val="0"/>
          <w:sz w:val="32"/>
          <w:szCs w:val="32"/>
          <w:highlight w:val="none"/>
          <w:lang w:val="en-US" w:eastAsia="zh-CN"/>
        </w:rPr>
        <w:t>合同周期内供应商出现2次及以上违约行为的</w:t>
      </w:r>
      <w:r>
        <w:rPr>
          <w:rFonts w:hint="eastAsia" w:ascii="方正仿宋_GBK" w:hAnsi="方正仿宋_GBK" w:eastAsia="方正仿宋_GBK" w:cs="方正仿宋_GBK"/>
          <w:color w:val="auto"/>
          <w:kern w:val="0"/>
          <w:sz w:val="32"/>
          <w:szCs w:val="32"/>
          <w:highlight w:val="none"/>
          <w:lang w:val="en-US" w:eastAsia="zh-CN"/>
        </w:rPr>
        <w:t>;⑦</w:t>
      </w:r>
      <w:r>
        <w:rPr>
          <w:rFonts w:hint="eastAsia" w:ascii="方正仿宋_GBK" w:hAnsi="方正仿宋_GBK" w:eastAsia="方正仿宋_GBK" w:cs="方正仿宋_GBK"/>
          <w:color w:val="auto"/>
          <w:sz w:val="32"/>
          <w:szCs w:val="32"/>
          <w:highlight w:val="none"/>
          <w:lang w:val="en-US" w:eastAsia="zh-CN"/>
        </w:rPr>
        <w:t>供应商及其服务发生泄漏检测数据及患者隐私的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存在质量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47DA5D9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因供应商及其提供的服务原因引发纠纷、造成</w:t>
      </w:r>
      <w:r>
        <w:rPr>
          <w:rFonts w:hint="eastAsia" w:ascii="方正仿宋_GBK" w:hAnsi="方正仿宋_GBK" w:eastAsia="方正仿宋_GBK" w:cs="方正仿宋_GBK"/>
          <w:color w:val="auto"/>
          <w:sz w:val="32"/>
          <w:szCs w:val="32"/>
          <w:highlight w:val="none"/>
          <w:lang w:val="en-US" w:eastAsia="zh-CN"/>
        </w:rPr>
        <w:t xml:space="preserve">采购人损失、受到处罚的（如供应商拒绝履约、在提供服务过程中损害采购人利益、供应商违纪违法行为、供应商检测内容虚假、数据分析错误等情况），供应商应赔偿对采购人造成的直接和间接损失全额损失及承担相应法律责任。合同履行期间发生争议，协商无果由重庆市璧山区人民法院裁决。 </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（十）合同终止情形</w:t>
      </w:r>
    </w:p>
    <w:p w14:paraId="2EDACF8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出现不良事件；数据交付超期10天；合同周期内供应商出现2次及以上违约行为；供应商廉洁违纪行为；供应商主动放弃等。</w:t>
      </w:r>
    </w:p>
    <w:p w14:paraId="3B6FEF0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（十一）中选标准</w:t>
      </w:r>
    </w:p>
    <w:p w14:paraId="33FF5D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在满足本项目技术和商务要求的前提下，采用最低评标价法评选。如超出投标报价、未在规定的时间内上交资料及资料不齐全的为无效报价。</w:t>
      </w:r>
    </w:p>
    <w:p w14:paraId="4E77F22F">
      <w:pPr>
        <w:keepNext w:val="0"/>
        <w:keepLines w:val="0"/>
        <w:pageBreakBefore w:val="0"/>
        <w:widowControl w:val="0"/>
        <w:kinsoku/>
        <w:wordWrap/>
        <w:overflowPunct/>
        <w:topLinePunct w:val="0"/>
        <w:autoSpaceDE/>
        <w:autoSpaceDN/>
        <w:bidi w:val="0"/>
        <w:adjustRightInd/>
        <w:snapToGrid w:val="0"/>
        <w:spacing w:line="500" w:lineRule="exact"/>
        <w:ind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（十二）其他要求</w:t>
      </w:r>
    </w:p>
    <w:p w14:paraId="2DEABB2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或质保期响应不及时等影响采购人正常工作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75304A0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目录（有页码，方便采购人查询对应资料所在位置，否则为无效响应）</w:t>
      </w:r>
    </w:p>
    <w:p w14:paraId="23CA05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5.报价表及分项明细表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8.本项目其他采购人的业绩资料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10.投标服务相关资料</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51AAF05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12.项目服务方案（应具体到样本接收运输管理、检测进度计划、项目阶段性沟通、人员设备安排、保密措施等）</w:t>
      </w:r>
    </w:p>
    <w:p w14:paraId="3D41F62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13</w:t>
      </w:r>
      <w:r>
        <w:rPr>
          <w:rFonts w:hint="eastAsia" w:ascii="仿宋_GB2312" w:hAnsi="宋体" w:eastAsia="仿宋_GB2312" w:cs="宋体"/>
          <w:kern w:val="2"/>
          <w:sz w:val="32"/>
          <w:szCs w:val="32"/>
          <w:highlight w:val="none"/>
          <w:lang w:val="en-US" w:eastAsia="zh-CN" w:bidi="ar-SA"/>
        </w:rPr>
        <w:t>.投标廉政承诺书</w:t>
      </w:r>
    </w:p>
    <w:p w14:paraId="1C913CAD">
      <w:pPr>
        <w:rPr>
          <w:rFonts w:hint="eastAsia"/>
          <w:highlight w:val="none"/>
          <w:lang w:val="en-US" w:eastAsia="zh-CN"/>
        </w:rPr>
      </w:pPr>
    </w:p>
    <w:p w14:paraId="251F0151">
      <w:pPr>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2D15061B">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791B6925">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3CAC701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6726A6C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6A8DE28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1、提供2024年至今1份类似项目的合同和发票/验收记录；</w:t>
      </w:r>
    </w:p>
    <w:p w14:paraId="0B289CF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2、提供完成本项目所需的人员、实验室相关资质、配套设备、耗材的合格证、注册证或备案证（如没有可提供出厂质检报告）等；</w:t>
      </w:r>
    </w:p>
    <w:p w14:paraId="0920AB9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3.其他法律法规有关规范。</w:t>
      </w:r>
    </w:p>
    <w:p w14:paraId="5AB5AAF7">
      <w:pPr>
        <w:ind w:firstLine="843" w:firstLineChars="300"/>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3E07AD1C">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213119B7">
      <w:pPr>
        <w:jc w:val="center"/>
        <w:rPr>
          <w:rFonts w:ascii="方正小标宋_GBK" w:hAnsi="方正小标宋_GBK" w:eastAsia="方正小标宋_GBK" w:cs="方正小标宋_GBK"/>
          <w:sz w:val="40"/>
          <w:szCs w:val="40"/>
          <w:highlight w:val="none"/>
        </w:rPr>
      </w:pPr>
    </w:p>
    <w:p w14:paraId="601E886E">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6F047435">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6FCA860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55C020A6">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EBFF1D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51BB740">
      <w:pPr>
        <w:ind w:firstLine="600" w:firstLineChars="200"/>
        <w:rPr>
          <w:rFonts w:ascii="微软雅黑" w:hAnsi="微软雅黑" w:eastAsia="微软雅黑" w:cs="微软雅黑"/>
          <w:sz w:val="30"/>
          <w:szCs w:val="30"/>
          <w:highlight w:val="none"/>
        </w:rPr>
      </w:pPr>
    </w:p>
    <w:p w14:paraId="0AD837F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69842051">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146F797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0703544">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B259131">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451744B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1EA5FAE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050C3B1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41050B5F">
      <w:pPr>
        <w:spacing w:line="594" w:lineRule="exact"/>
        <w:ind w:firstLine="600" w:firstLineChars="200"/>
        <w:rPr>
          <w:rFonts w:hint="eastAsia" w:ascii="微软雅黑" w:hAnsi="微软雅黑" w:eastAsia="微软雅黑"/>
          <w:sz w:val="30"/>
          <w:szCs w:val="30"/>
          <w:highlight w:val="none"/>
        </w:rPr>
      </w:pPr>
    </w:p>
    <w:p w14:paraId="01380D8A">
      <w:pPr>
        <w:spacing w:line="594" w:lineRule="exact"/>
        <w:ind w:firstLine="600" w:firstLineChars="200"/>
        <w:rPr>
          <w:rFonts w:hint="eastAsia" w:ascii="微软雅黑" w:hAnsi="微软雅黑" w:eastAsia="微软雅黑"/>
          <w:sz w:val="30"/>
          <w:szCs w:val="30"/>
          <w:highlight w:val="none"/>
        </w:rPr>
      </w:pPr>
    </w:p>
    <w:p w14:paraId="32744D7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7EA1D79">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39739773">
      <w:pPr>
        <w:spacing w:line="594" w:lineRule="exact"/>
        <w:ind w:firstLine="640" w:firstLineChars="200"/>
        <w:rPr>
          <w:rFonts w:hint="eastAsia" w:ascii="方正仿宋_GBK" w:eastAsia="方正仿宋_GBK"/>
          <w:sz w:val="32"/>
          <w:szCs w:val="32"/>
          <w:highlight w:val="none"/>
        </w:rPr>
      </w:pPr>
    </w:p>
    <w:p w14:paraId="3B7E87CA">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1CE8A15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747"/>
      <w:bookmarkStart w:id="1" w:name="_Toc237057793"/>
      <w:bookmarkStart w:id="2" w:name="_Toc175017344"/>
      <w:bookmarkStart w:id="3" w:name="_Toc173677399"/>
      <w:bookmarkStart w:id="4" w:name="_Toc128014297"/>
      <w:bookmarkStart w:id="5" w:name="_Toc156196472"/>
      <w:bookmarkStart w:id="6" w:name="_Toc128229304"/>
    </w:p>
    <w:p w14:paraId="6EB84F7D">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7A48D29C">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7D227DB6">
      <w:pPr>
        <w:rPr>
          <w:rFonts w:hint="eastAsia" w:ascii="仿宋_GB2312" w:hAnsi="Arial" w:eastAsia="仿宋_GB2312" w:cstheme="minorBidi"/>
          <w:b/>
          <w:color w:val="auto"/>
          <w:kern w:val="2"/>
          <w:sz w:val="28"/>
          <w:szCs w:val="28"/>
          <w:highlight w:val="none"/>
          <w:lang w:val="en-US" w:eastAsia="zh-CN" w:bidi="ar-SA"/>
        </w:rPr>
      </w:pPr>
    </w:p>
    <w:p w14:paraId="13835B1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191ED7A7">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00528B2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3C374A06">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783D7DD">
      <w:pPr>
        <w:pStyle w:val="9"/>
        <w:numPr>
          <w:ilvl w:val="0"/>
          <w:numId w:val="0"/>
        </w:numPr>
        <w:jc w:val="both"/>
        <w:rPr>
          <w:rFonts w:hint="default"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1．愿意按照询价采购文件中的一切要求，提供本项目的服务，报价为人民币大写：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元整（附分项明细表）。</w:t>
      </w:r>
    </w:p>
    <w:p w14:paraId="3785074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2．我方现提交的响应文件为：加盖鲜章纸质件。</w:t>
      </w:r>
    </w:p>
    <w:p w14:paraId="6A941D7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63B1181">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0AA5101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5B816A62">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5FC7697">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F776DF6">
      <w:p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2356"/>
        <w:gridCol w:w="1065"/>
        <w:gridCol w:w="2249"/>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2356" w:type="dxa"/>
            <w:noWrap w:val="0"/>
            <w:vAlign w:val="center"/>
          </w:tcPr>
          <w:p w14:paraId="29DA5BF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065" w:type="dxa"/>
            <w:noWrap w:val="0"/>
            <w:vAlign w:val="center"/>
          </w:tcPr>
          <w:p w14:paraId="0D80379C">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2F4AF80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6BC315E6">
            <w:pPr>
              <w:spacing w:line="300" w:lineRule="exact"/>
              <w:rPr>
                <w:rFonts w:ascii="微软雅黑" w:hAnsi="微软雅黑" w:eastAsia="微软雅黑" w:cs="微软雅黑"/>
                <w:sz w:val="24"/>
                <w:szCs w:val="24"/>
                <w:highlight w:val="none"/>
              </w:rPr>
            </w:pPr>
          </w:p>
        </w:tc>
        <w:tc>
          <w:tcPr>
            <w:tcW w:w="2356" w:type="dxa"/>
            <w:noWrap w:val="0"/>
            <w:vAlign w:val="top"/>
          </w:tcPr>
          <w:p w14:paraId="764B2900">
            <w:pPr>
              <w:spacing w:line="300" w:lineRule="exact"/>
              <w:rPr>
                <w:rFonts w:ascii="微软雅黑" w:hAnsi="微软雅黑" w:eastAsia="微软雅黑" w:cs="微软雅黑"/>
                <w:sz w:val="24"/>
                <w:szCs w:val="24"/>
                <w:highlight w:val="none"/>
              </w:rPr>
            </w:pPr>
          </w:p>
        </w:tc>
        <w:tc>
          <w:tcPr>
            <w:tcW w:w="1065" w:type="dxa"/>
            <w:noWrap w:val="0"/>
            <w:vAlign w:val="top"/>
          </w:tcPr>
          <w:p w14:paraId="1EF8BF9F">
            <w:pPr>
              <w:spacing w:line="300" w:lineRule="exact"/>
              <w:rPr>
                <w:rFonts w:ascii="微软雅黑" w:hAnsi="微软雅黑" w:eastAsia="微软雅黑" w:cs="微软雅黑"/>
                <w:sz w:val="24"/>
                <w:szCs w:val="24"/>
                <w:highlight w:val="none"/>
              </w:rPr>
            </w:pPr>
          </w:p>
        </w:tc>
        <w:tc>
          <w:tcPr>
            <w:tcW w:w="2249" w:type="dxa"/>
            <w:noWrap w:val="0"/>
            <w:vAlign w:val="top"/>
          </w:tcPr>
          <w:p w14:paraId="3F2A513E">
            <w:pPr>
              <w:spacing w:line="300" w:lineRule="exact"/>
              <w:rPr>
                <w:rFonts w:ascii="微软雅黑" w:hAnsi="微软雅黑" w:eastAsia="微软雅黑" w:cs="微软雅黑"/>
                <w:sz w:val="24"/>
                <w:szCs w:val="24"/>
                <w:highlight w:val="none"/>
              </w:rPr>
            </w:pPr>
          </w:p>
        </w:tc>
        <w:tc>
          <w:tcPr>
            <w:tcW w:w="1275" w:type="dxa"/>
            <w:noWrap w:val="0"/>
            <w:vAlign w:val="top"/>
          </w:tcPr>
          <w:p w14:paraId="5F705A3A">
            <w:pPr>
              <w:spacing w:line="300" w:lineRule="exact"/>
              <w:rPr>
                <w:rFonts w:ascii="微软雅黑" w:hAnsi="微软雅黑" w:eastAsia="微软雅黑" w:cs="微软雅黑"/>
                <w:sz w:val="24"/>
                <w:szCs w:val="24"/>
                <w:highlight w:val="none"/>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E61EDAE">
            <w:pPr>
              <w:spacing w:line="300" w:lineRule="exact"/>
              <w:rPr>
                <w:rFonts w:ascii="微软雅黑" w:hAnsi="微软雅黑" w:eastAsia="微软雅黑" w:cs="微软雅黑"/>
                <w:sz w:val="24"/>
                <w:szCs w:val="24"/>
                <w:highlight w:val="none"/>
              </w:rPr>
            </w:pPr>
          </w:p>
        </w:tc>
        <w:tc>
          <w:tcPr>
            <w:tcW w:w="2356" w:type="dxa"/>
            <w:noWrap w:val="0"/>
            <w:vAlign w:val="top"/>
          </w:tcPr>
          <w:p w14:paraId="49AAE716">
            <w:pPr>
              <w:spacing w:line="300" w:lineRule="exact"/>
              <w:rPr>
                <w:rFonts w:ascii="微软雅黑" w:hAnsi="微软雅黑" w:eastAsia="微软雅黑" w:cs="微软雅黑"/>
                <w:sz w:val="24"/>
                <w:szCs w:val="24"/>
                <w:highlight w:val="none"/>
              </w:rPr>
            </w:pPr>
          </w:p>
        </w:tc>
        <w:tc>
          <w:tcPr>
            <w:tcW w:w="1065" w:type="dxa"/>
            <w:noWrap w:val="0"/>
            <w:vAlign w:val="top"/>
          </w:tcPr>
          <w:p w14:paraId="0C02AD95">
            <w:pPr>
              <w:spacing w:line="300" w:lineRule="exact"/>
              <w:rPr>
                <w:rFonts w:ascii="微软雅黑" w:hAnsi="微软雅黑" w:eastAsia="微软雅黑" w:cs="微软雅黑"/>
                <w:sz w:val="24"/>
                <w:szCs w:val="24"/>
                <w:highlight w:val="none"/>
              </w:rPr>
            </w:pPr>
          </w:p>
        </w:tc>
        <w:tc>
          <w:tcPr>
            <w:tcW w:w="2249" w:type="dxa"/>
            <w:noWrap w:val="0"/>
            <w:vAlign w:val="top"/>
          </w:tcPr>
          <w:p w14:paraId="37B6C834">
            <w:pPr>
              <w:spacing w:line="300" w:lineRule="exact"/>
              <w:rPr>
                <w:rFonts w:ascii="微软雅黑" w:hAnsi="微软雅黑" w:eastAsia="微软雅黑" w:cs="微软雅黑"/>
                <w:sz w:val="24"/>
                <w:szCs w:val="24"/>
                <w:highlight w:val="none"/>
              </w:rPr>
            </w:pPr>
          </w:p>
        </w:tc>
        <w:tc>
          <w:tcPr>
            <w:tcW w:w="1275" w:type="dxa"/>
            <w:noWrap w:val="0"/>
            <w:vAlign w:val="top"/>
          </w:tcPr>
          <w:p w14:paraId="498FFDA5">
            <w:pPr>
              <w:spacing w:line="300" w:lineRule="exact"/>
              <w:rPr>
                <w:rFonts w:ascii="微软雅黑" w:hAnsi="微软雅黑" w:eastAsia="微软雅黑" w:cs="微软雅黑"/>
                <w:sz w:val="24"/>
                <w:szCs w:val="24"/>
                <w:highlight w:val="none"/>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5405905E">
            <w:pPr>
              <w:spacing w:line="300" w:lineRule="exact"/>
              <w:rPr>
                <w:rFonts w:ascii="微软雅黑" w:hAnsi="微软雅黑" w:eastAsia="微软雅黑" w:cs="微软雅黑"/>
                <w:sz w:val="24"/>
                <w:szCs w:val="24"/>
                <w:highlight w:val="none"/>
              </w:rPr>
            </w:pPr>
          </w:p>
        </w:tc>
        <w:tc>
          <w:tcPr>
            <w:tcW w:w="2356" w:type="dxa"/>
            <w:noWrap w:val="0"/>
            <w:vAlign w:val="top"/>
          </w:tcPr>
          <w:p w14:paraId="1E8F4A1D">
            <w:pPr>
              <w:spacing w:line="300" w:lineRule="exact"/>
              <w:rPr>
                <w:rFonts w:ascii="微软雅黑" w:hAnsi="微软雅黑" w:eastAsia="微软雅黑" w:cs="微软雅黑"/>
                <w:sz w:val="24"/>
                <w:szCs w:val="24"/>
                <w:highlight w:val="none"/>
              </w:rPr>
            </w:pPr>
          </w:p>
        </w:tc>
        <w:tc>
          <w:tcPr>
            <w:tcW w:w="1065" w:type="dxa"/>
            <w:noWrap w:val="0"/>
            <w:vAlign w:val="top"/>
          </w:tcPr>
          <w:p w14:paraId="2F923AAC">
            <w:pPr>
              <w:spacing w:line="300" w:lineRule="exact"/>
              <w:rPr>
                <w:rFonts w:ascii="微软雅黑" w:hAnsi="微软雅黑" w:eastAsia="微软雅黑" w:cs="微软雅黑"/>
                <w:sz w:val="24"/>
                <w:szCs w:val="24"/>
                <w:highlight w:val="none"/>
              </w:rPr>
            </w:pPr>
          </w:p>
        </w:tc>
        <w:tc>
          <w:tcPr>
            <w:tcW w:w="2249" w:type="dxa"/>
            <w:noWrap w:val="0"/>
            <w:vAlign w:val="top"/>
          </w:tcPr>
          <w:p w14:paraId="15AC0646">
            <w:pPr>
              <w:spacing w:line="300" w:lineRule="exact"/>
              <w:rPr>
                <w:rFonts w:ascii="微软雅黑" w:hAnsi="微软雅黑" w:eastAsia="微软雅黑" w:cs="微软雅黑"/>
                <w:sz w:val="24"/>
                <w:szCs w:val="24"/>
                <w:highlight w:val="none"/>
              </w:rPr>
            </w:pPr>
          </w:p>
        </w:tc>
        <w:tc>
          <w:tcPr>
            <w:tcW w:w="1275" w:type="dxa"/>
            <w:noWrap w:val="0"/>
            <w:vAlign w:val="top"/>
          </w:tcPr>
          <w:p w14:paraId="33A3B4B4">
            <w:pPr>
              <w:spacing w:line="300" w:lineRule="exact"/>
              <w:rPr>
                <w:rFonts w:ascii="微软雅黑" w:hAnsi="微软雅黑" w:eastAsia="微软雅黑" w:cs="微软雅黑"/>
                <w:sz w:val="24"/>
                <w:szCs w:val="24"/>
                <w:highlight w:val="none"/>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072D291C">
            <w:pPr>
              <w:spacing w:line="300" w:lineRule="exact"/>
              <w:rPr>
                <w:rFonts w:ascii="微软雅黑" w:hAnsi="微软雅黑" w:eastAsia="微软雅黑" w:cs="微软雅黑"/>
                <w:sz w:val="24"/>
                <w:szCs w:val="24"/>
                <w:highlight w:val="none"/>
              </w:rPr>
            </w:pPr>
          </w:p>
        </w:tc>
        <w:tc>
          <w:tcPr>
            <w:tcW w:w="2356" w:type="dxa"/>
            <w:noWrap w:val="0"/>
            <w:vAlign w:val="top"/>
          </w:tcPr>
          <w:p w14:paraId="490BC7C9">
            <w:pPr>
              <w:spacing w:line="300" w:lineRule="exact"/>
              <w:rPr>
                <w:rFonts w:ascii="微软雅黑" w:hAnsi="微软雅黑" w:eastAsia="微软雅黑" w:cs="微软雅黑"/>
                <w:sz w:val="24"/>
                <w:szCs w:val="24"/>
                <w:highlight w:val="none"/>
              </w:rPr>
            </w:pPr>
          </w:p>
        </w:tc>
        <w:tc>
          <w:tcPr>
            <w:tcW w:w="1065" w:type="dxa"/>
            <w:noWrap w:val="0"/>
            <w:vAlign w:val="top"/>
          </w:tcPr>
          <w:p w14:paraId="30EAE67B">
            <w:pPr>
              <w:spacing w:line="300" w:lineRule="exact"/>
              <w:rPr>
                <w:rFonts w:ascii="微软雅黑" w:hAnsi="微软雅黑" w:eastAsia="微软雅黑" w:cs="微软雅黑"/>
                <w:sz w:val="24"/>
                <w:szCs w:val="24"/>
                <w:highlight w:val="none"/>
              </w:rPr>
            </w:pPr>
          </w:p>
        </w:tc>
        <w:tc>
          <w:tcPr>
            <w:tcW w:w="2249" w:type="dxa"/>
            <w:noWrap w:val="0"/>
            <w:vAlign w:val="top"/>
          </w:tcPr>
          <w:p w14:paraId="07FF33B2">
            <w:pPr>
              <w:spacing w:line="300" w:lineRule="exact"/>
              <w:rPr>
                <w:rFonts w:ascii="微软雅黑" w:hAnsi="微软雅黑" w:eastAsia="微软雅黑" w:cs="微软雅黑"/>
                <w:sz w:val="24"/>
                <w:szCs w:val="24"/>
                <w:highlight w:val="none"/>
              </w:rPr>
            </w:pPr>
          </w:p>
        </w:tc>
        <w:tc>
          <w:tcPr>
            <w:tcW w:w="1275" w:type="dxa"/>
            <w:noWrap w:val="0"/>
            <w:vAlign w:val="top"/>
          </w:tcPr>
          <w:p w14:paraId="46AF0D90">
            <w:pPr>
              <w:spacing w:line="300" w:lineRule="exact"/>
              <w:rPr>
                <w:rFonts w:ascii="微软雅黑" w:hAnsi="微软雅黑" w:eastAsia="微软雅黑" w:cs="微软雅黑"/>
                <w:sz w:val="24"/>
                <w:szCs w:val="24"/>
                <w:highlight w:val="none"/>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0F6D1D0A">
            <w:pPr>
              <w:spacing w:line="300" w:lineRule="exact"/>
              <w:rPr>
                <w:rFonts w:ascii="微软雅黑" w:hAnsi="微软雅黑" w:eastAsia="微软雅黑" w:cs="微软雅黑"/>
                <w:sz w:val="24"/>
                <w:szCs w:val="24"/>
                <w:highlight w:val="none"/>
              </w:rPr>
            </w:pPr>
          </w:p>
        </w:tc>
        <w:tc>
          <w:tcPr>
            <w:tcW w:w="2356" w:type="dxa"/>
            <w:noWrap w:val="0"/>
            <w:vAlign w:val="top"/>
          </w:tcPr>
          <w:p w14:paraId="31786AD8">
            <w:pPr>
              <w:spacing w:line="300" w:lineRule="exact"/>
              <w:rPr>
                <w:rFonts w:ascii="微软雅黑" w:hAnsi="微软雅黑" w:eastAsia="微软雅黑" w:cs="微软雅黑"/>
                <w:sz w:val="24"/>
                <w:szCs w:val="24"/>
                <w:highlight w:val="none"/>
              </w:rPr>
            </w:pPr>
          </w:p>
        </w:tc>
        <w:tc>
          <w:tcPr>
            <w:tcW w:w="1065" w:type="dxa"/>
            <w:noWrap w:val="0"/>
            <w:vAlign w:val="top"/>
          </w:tcPr>
          <w:p w14:paraId="5FF79B57">
            <w:pPr>
              <w:spacing w:line="300" w:lineRule="exact"/>
              <w:rPr>
                <w:rFonts w:ascii="微软雅黑" w:hAnsi="微软雅黑" w:eastAsia="微软雅黑" w:cs="微软雅黑"/>
                <w:sz w:val="24"/>
                <w:szCs w:val="24"/>
                <w:highlight w:val="none"/>
              </w:rPr>
            </w:pPr>
          </w:p>
        </w:tc>
        <w:tc>
          <w:tcPr>
            <w:tcW w:w="2249" w:type="dxa"/>
            <w:noWrap w:val="0"/>
            <w:vAlign w:val="top"/>
          </w:tcPr>
          <w:p w14:paraId="2931B899">
            <w:pPr>
              <w:spacing w:line="300" w:lineRule="exact"/>
              <w:rPr>
                <w:rFonts w:ascii="微软雅黑" w:hAnsi="微软雅黑" w:eastAsia="微软雅黑" w:cs="微软雅黑"/>
                <w:sz w:val="24"/>
                <w:szCs w:val="24"/>
                <w:highlight w:val="none"/>
              </w:rPr>
            </w:pPr>
          </w:p>
        </w:tc>
        <w:tc>
          <w:tcPr>
            <w:tcW w:w="1275" w:type="dxa"/>
            <w:noWrap w:val="0"/>
            <w:vAlign w:val="top"/>
          </w:tcPr>
          <w:p w14:paraId="3E5FCA7E">
            <w:pPr>
              <w:spacing w:line="300" w:lineRule="exact"/>
              <w:rPr>
                <w:rFonts w:ascii="微软雅黑" w:hAnsi="微软雅黑" w:eastAsia="微软雅黑" w:cs="微软雅黑"/>
                <w:sz w:val="24"/>
                <w:szCs w:val="24"/>
                <w:highlight w:val="none"/>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576858F">
            <w:pPr>
              <w:spacing w:line="300" w:lineRule="exact"/>
              <w:rPr>
                <w:rFonts w:ascii="微软雅黑" w:hAnsi="微软雅黑" w:eastAsia="微软雅黑" w:cs="微软雅黑"/>
                <w:sz w:val="24"/>
                <w:szCs w:val="24"/>
                <w:highlight w:val="none"/>
              </w:rPr>
            </w:pPr>
          </w:p>
        </w:tc>
        <w:tc>
          <w:tcPr>
            <w:tcW w:w="2356" w:type="dxa"/>
            <w:noWrap w:val="0"/>
            <w:vAlign w:val="top"/>
          </w:tcPr>
          <w:p w14:paraId="4FE065E3">
            <w:pPr>
              <w:spacing w:line="300" w:lineRule="exact"/>
              <w:rPr>
                <w:rFonts w:ascii="微软雅黑" w:hAnsi="微软雅黑" w:eastAsia="微软雅黑" w:cs="微软雅黑"/>
                <w:sz w:val="24"/>
                <w:szCs w:val="24"/>
                <w:highlight w:val="none"/>
              </w:rPr>
            </w:pPr>
          </w:p>
        </w:tc>
        <w:tc>
          <w:tcPr>
            <w:tcW w:w="1065" w:type="dxa"/>
            <w:noWrap w:val="0"/>
            <w:vAlign w:val="top"/>
          </w:tcPr>
          <w:p w14:paraId="168E28CD">
            <w:pPr>
              <w:spacing w:line="300" w:lineRule="exact"/>
              <w:rPr>
                <w:rFonts w:ascii="微软雅黑" w:hAnsi="微软雅黑" w:eastAsia="微软雅黑" w:cs="微软雅黑"/>
                <w:sz w:val="24"/>
                <w:szCs w:val="24"/>
                <w:highlight w:val="none"/>
              </w:rPr>
            </w:pPr>
          </w:p>
        </w:tc>
        <w:tc>
          <w:tcPr>
            <w:tcW w:w="2249" w:type="dxa"/>
            <w:noWrap w:val="0"/>
            <w:vAlign w:val="top"/>
          </w:tcPr>
          <w:p w14:paraId="1F3403C8">
            <w:pPr>
              <w:spacing w:line="300" w:lineRule="exact"/>
              <w:rPr>
                <w:rFonts w:ascii="微软雅黑" w:hAnsi="微软雅黑" w:eastAsia="微软雅黑" w:cs="微软雅黑"/>
                <w:sz w:val="24"/>
                <w:szCs w:val="24"/>
                <w:highlight w:val="none"/>
              </w:rPr>
            </w:pPr>
          </w:p>
        </w:tc>
        <w:tc>
          <w:tcPr>
            <w:tcW w:w="1275" w:type="dxa"/>
            <w:noWrap w:val="0"/>
            <w:vAlign w:val="top"/>
          </w:tcPr>
          <w:p w14:paraId="0472BFBC">
            <w:pPr>
              <w:spacing w:line="300" w:lineRule="exact"/>
              <w:rPr>
                <w:rFonts w:ascii="微软雅黑" w:hAnsi="微软雅黑" w:eastAsia="微软雅黑" w:cs="微软雅黑"/>
                <w:sz w:val="24"/>
                <w:szCs w:val="24"/>
                <w:highlight w:val="none"/>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6EC73C76">
            <w:pPr>
              <w:spacing w:line="300" w:lineRule="exact"/>
              <w:rPr>
                <w:rFonts w:hint="default" w:ascii="微软雅黑" w:hAnsi="微软雅黑" w:eastAsia="微软雅黑" w:cs="微软雅黑"/>
                <w:sz w:val="24"/>
                <w:szCs w:val="24"/>
                <w:highlight w:val="none"/>
                <w:lang w:val="en-US" w:eastAsia="zh-CN"/>
              </w:rPr>
            </w:pPr>
          </w:p>
        </w:tc>
        <w:tc>
          <w:tcPr>
            <w:tcW w:w="2356" w:type="dxa"/>
            <w:noWrap w:val="0"/>
            <w:vAlign w:val="top"/>
          </w:tcPr>
          <w:p w14:paraId="5F00180A">
            <w:pPr>
              <w:spacing w:line="300" w:lineRule="exact"/>
              <w:rPr>
                <w:rFonts w:ascii="微软雅黑" w:hAnsi="微软雅黑" w:eastAsia="微软雅黑" w:cs="微软雅黑"/>
                <w:sz w:val="24"/>
                <w:szCs w:val="24"/>
                <w:highlight w:val="none"/>
              </w:rPr>
            </w:pPr>
          </w:p>
        </w:tc>
        <w:tc>
          <w:tcPr>
            <w:tcW w:w="1065" w:type="dxa"/>
            <w:noWrap w:val="0"/>
            <w:vAlign w:val="top"/>
          </w:tcPr>
          <w:p w14:paraId="460A705A">
            <w:pPr>
              <w:spacing w:line="300" w:lineRule="exact"/>
              <w:rPr>
                <w:rFonts w:ascii="微软雅黑" w:hAnsi="微软雅黑" w:eastAsia="微软雅黑" w:cs="微软雅黑"/>
                <w:sz w:val="24"/>
                <w:szCs w:val="24"/>
                <w:highlight w:val="none"/>
              </w:rPr>
            </w:pPr>
          </w:p>
        </w:tc>
        <w:tc>
          <w:tcPr>
            <w:tcW w:w="2249" w:type="dxa"/>
            <w:noWrap w:val="0"/>
            <w:vAlign w:val="top"/>
          </w:tcPr>
          <w:p w14:paraId="0E4F5168">
            <w:pPr>
              <w:spacing w:line="300" w:lineRule="exact"/>
              <w:rPr>
                <w:rFonts w:ascii="微软雅黑" w:hAnsi="微软雅黑" w:eastAsia="微软雅黑" w:cs="微软雅黑"/>
                <w:sz w:val="24"/>
                <w:szCs w:val="24"/>
                <w:highlight w:val="none"/>
              </w:rPr>
            </w:pPr>
          </w:p>
        </w:tc>
        <w:tc>
          <w:tcPr>
            <w:tcW w:w="1275" w:type="dxa"/>
            <w:noWrap w:val="0"/>
            <w:vAlign w:val="top"/>
          </w:tcPr>
          <w:p w14:paraId="1F3EE939">
            <w:pPr>
              <w:spacing w:line="300" w:lineRule="exact"/>
              <w:rPr>
                <w:rFonts w:ascii="微软雅黑" w:hAnsi="微软雅黑" w:eastAsia="微软雅黑" w:cs="微软雅黑"/>
                <w:sz w:val="24"/>
                <w:szCs w:val="24"/>
                <w:highlight w:val="none"/>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0F5ABEB1">
            <w:pPr>
              <w:spacing w:line="300" w:lineRule="exact"/>
              <w:rPr>
                <w:rFonts w:ascii="微软雅黑" w:hAnsi="微软雅黑" w:eastAsia="微软雅黑" w:cs="微软雅黑"/>
                <w:sz w:val="24"/>
                <w:szCs w:val="24"/>
                <w:highlight w:val="none"/>
              </w:rPr>
            </w:pPr>
          </w:p>
        </w:tc>
        <w:tc>
          <w:tcPr>
            <w:tcW w:w="2356" w:type="dxa"/>
            <w:noWrap w:val="0"/>
            <w:vAlign w:val="top"/>
          </w:tcPr>
          <w:p w14:paraId="4B5AC615">
            <w:pPr>
              <w:spacing w:line="300" w:lineRule="exact"/>
              <w:rPr>
                <w:rFonts w:ascii="微软雅黑" w:hAnsi="微软雅黑" w:eastAsia="微软雅黑" w:cs="微软雅黑"/>
                <w:sz w:val="24"/>
                <w:szCs w:val="24"/>
                <w:highlight w:val="none"/>
              </w:rPr>
            </w:pPr>
          </w:p>
        </w:tc>
        <w:tc>
          <w:tcPr>
            <w:tcW w:w="1065" w:type="dxa"/>
            <w:noWrap w:val="0"/>
            <w:vAlign w:val="top"/>
          </w:tcPr>
          <w:p w14:paraId="5F2D2CCF">
            <w:pPr>
              <w:spacing w:line="300" w:lineRule="exact"/>
              <w:rPr>
                <w:rFonts w:ascii="微软雅黑" w:hAnsi="微软雅黑" w:eastAsia="微软雅黑" w:cs="微软雅黑"/>
                <w:sz w:val="24"/>
                <w:szCs w:val="24"/>
                <w:highlight w:val="none"/>
              </w:rPr>
            </w:pPr>
          </w:p>
        </w:tc>
        <w:tc>
          <w:tcPr>
            <w:tcW w:w="2249" w:type="dxa"/>
            <w:noWrap w:val="0"/>
            <w:vAlign w:val="top"/>
          </w:tcPr>
          <w:p w14:paraId="670C46B7">
            <w:pPr>
              <w:spacing w:line="300" w:lineRule="exact"/>
              <w:rPr>
                <w:rFonts w:ascii="微软雅黑" w:hAnsi="微软雅黑" w:eastAsia="微软雅黑" w:cs="微软雅黑"/>
                <w:sz w:val="24"/>
                <w:szCs w:val="24"/>
                <w:highlight w:val="none"/>
              </w:rPr>
            </w:pPr>
          </w:p>
        </w:tc>
        <w:tc>
          <w:tcPr>
            <w:tcW w:w="1275" w:type="dxa"/>
            <w:noWrap w:val="0"/>
            <w:vAlign w:val="top"/>
          </w:tcPr>
          <w:p w14:paraId="7914DD39">
            <w:pPr>
              <w:spacing w:line="300" w:lineRule="exact"/>
              <w:rPr>
                <w:rFonts w:ascii="微软雅黑" w:hAnsi="微软雅黑" w:eastAsia="微软雅黑" w:cs="微软雅黑"/>
                <w:sz w:val="24"/>
                <w:szCs w:val="24"/>
                <w:highlight w:val="none"/>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45FF6335">
            <w:pPr>
              <w:spacing w:line="300" w:lineRule="exact"/>
              <w:rPr>
                <w:rFonts w:ascii="微软雅黑" w:hAnsi="微软雅黑" w:eastAsia="微软雅黑" w:cs="微软雅黑"/>
                <w:sz w:val="24"/>
                <w:szCs w:val="24"/>
                <w:highlight w:val="none"/>
              </w:rPr>
            </w:pPr>
          </w:p>
        </w:tc>
        <w:tc>
          <w:tcPr>
            <w:tcW w:w="2356" w:type="dxa"/>
            <w:noWrap w:val="0"/>
            <w:vAlign w:val="top"/>
          </w:tcPr>
          <w:p w14:paraId="4CBB5A4D">
            <w:pPr>
              <w:spacing w:line="300" w:lineRule="exact"/>
              <w:rPr>
                <w:rFonts w:ascii="微软雅黑" w:hAnsi="微软雅黑" w:eastAsia="微软雅黑" w:cs="微软雅黑"/>
                <w:sz w:val="24"/>
                <w:szCs w:val="24"/>
                <w:highlight w:val="none"/>
              </w:rPr>
            </w:pPr>
          </w:p>
        </w:tc>
        <w:tc>
          <w:tcPr>
            <w:tcW w:w="1065" w:type="dxa"/>
            <w:noWrap w:val="0"/>
            <w:vAlign w:val="top"/>
          </w:tcPr>
          <w:p w14:paraId="32399EA8">
            <w:pPr>
              <w:spacing w:line="300" w:lineRule="exact"/>
              <w:rPr>
                <w:rFonts w:ascii="微软雅黑" w:hAnsi="微软雅黑" w:eastAsia="微软雅黑" w:cs="微软雅黑"/>
                <w:sz w:val="24"/>
                <w:szCs w:val="24"/>
                <w:highlight w:val="none"/>
              </w:rPr>
            </w:pPr>
          </w:p>
        </w:tc>
        <w:tc>
          <w:tcPr>
            <w:tcW w:w="2249" w:type="dxa"/>
            <w:noWrap w:val="0"/>
            <w:vAlign w:val="top"/>
          </w:tcPr>
          <w:p w14:paraId="189C4E77">
            <w:pPr>
              <w:spacing w:line="300" w:lineRule="exact"/>
              <w:rPr>
                <w:rFonts w:ascii="微软雅黑" w:hAnsi="微软雅黑" w:eastAsia="微软雅黑" w:cs="微软雅黑"/>
                <w:sz w:val="24"/>
                <w:szCs w:val="24"/>
                <w:highlight w:val="none"/>
              </w:rPr>
            </w:pPr>
          </w:p>
        </w:tc>
        <w:tc>
          <w:tcPr>
            <w:tcW w:w="1275" w:type="dxa"/>
            <w:noWrap w:val="0"/>
            <w:vAlign w:val="top"/>
          </w:tcPr>
          <w:p w14:paraId="508897FD">
            <w:pPr>
              <w:spacing w:line="300" w:lineRule="exact"/>
              <w:rPr>
                <w:rFonts w:ascii="微软雅黑" w:hAnsi="微软雅黑" w:eastAsia="微软雅黑" w:cs="微软雅黑"/>
                <w:sz w:val="24"/>
                <w:szCs w:val="24"/>
                <w:highlight w:val="none"/>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5A54AF4B">
            <w:pPr>
              <w:spacing w:line="300" w:lineRule="exact"/>
              <w:rPr>
                <w:rFonts w:ascii="微软雅黑" w:hAnsi="微软雅黑" w:eastAsia="微软雅黑" w:cs="微软雅黑"/>
                <w:sz w:val="24"/>
                <w:szCs w:val="24"/>
                <w:highlight w:val="none"/>
              </w:rPr>
            </w:pPr>
          </w:p>
        </w:tc>
        <w:tc>
          <w:tcPr>
            <w:tcW w:w="2356" w:type="dxa"/>
            <w:noWrap w:val="0"/>
            <w:vAlign w:val="top"/>
          </w:tcPr>
          <w:p w14:paraId="2F453EE4">
            <w:pPr>
              <w:spacing w:line="300" w:lineRule="exact"/>
              <w:rPr>
                <w:rFonts w:ascii="微软雅黑" w:hAnsi="微软雅黑" w:eastAsia="微软雅黑" w:cs="微软雅黑"/>
                <w:sz w:val="24"/>
                <w:szCs w:val="24"/>
                <w:highlight w:val="none"/>
              </w:rPr>
            </w:pPr>
          </w:p>
        </w:tc>
        <w:tc>
          <w:tcPr>
            <w:tcW w:w="1065" w:type="dxa"/>
            <w:noWrap w:val="0"/>
            <w:vAlign w:val="top"/>
          </w:tcPr>
          <w:p w14:paraId="60726E11">
            <w:pPr>
              <w:spacing w:line="300" w:lineRule="exact"/>
              <w:rPr>
                <w:rFonts w:ascii="微软雅黑" w:hAnsi="微软雅黑" w:eastAsia="微软雅黑" w:cs="微软雅黑"/>
                <w:sz w:val="24"/>
                <w:szCs w:val="24"/>
                <w:highlight w:val="none"/>
              </w:rPr>
            </w:pPr>
          </w:p>
        </w:tc>
        <w:tc>
          <w:tcPr>
            <w:tcW w:w="2249" w:type="dxa"/>
            <w:noWrap w:val="0"/>
            <w:vAlign w:val="top"/>
          </w:tcPr>
          <w:p w14:paraId="6A115EA7">
            <w:pPr>
              <w:spacing w:line="300" w:lineRule="exact"/>
              <w:rPr>
                <w:rFonts w:ascii="微软雅黑" w:hAnsi="微软雅黑" w:eastAsia="微软雅黑" w:cs="微软雅黑"/>
                <w:sz w:val="24"/>
                <w:szCs w:val="24"/>
                <w:highlight w:val="none"/>
              </w:rPr>
            </w:pPr>
          </w:p>
        </w:tc>
        <w:tc>
          <w:tcPr>
            <w:tcW w:w="1275" w:type="dxa"/>
            <w:noWrap w:val="0"/>
            <w:vAlign w:val="top"/>
          </w:tcPr>
          <w:p w14:paraId="4E2343EF">
            <w:pPr>
              <w:spacing w:line="300" w:lineRule="exact"/>
              <w:rPr>
                <w:rFonts w:ascii="微软雅黑" w:hAnsi="微软雅黑" w:eastAsia="微软雅黑" w:cs="微软雅黑"/>
                <w:sz w:val="24"/>
                <w:szCs w:val="24"/>
                <w:highlight w:val="none"/>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39E09641">
            <w:pPr>
              <w:spacing w:line="300" w:lineRule="exact"/>
              <w:rPr>
                <w:rFonts w:ascii="微软雅黑" w:hAnsi="微软雅黑" w:eastAsia="微软雅黑" w:cs="微软雅黑"/>
                <w:sz w:val="24"/>
                <w:szCs w:val="24"/>
                <w:highlight w:val="none"/>
              </w:rPr>
            </w:pPr>
          </w:p>
        </w:tc>
        <w:tc>
          <w:tcPr>
            <w:tcW w:w="2356" w:type="dxa"/>
            <w:noWrap w:val="0"/>
            <w:vAlign w:val="top"/>
          </w:tcPr>
          <w:p w14:paraId="09FD19F7">
            <w:pPr>
              <w:spacing w:line="300" w:lineRule="exact"/>
              <w:rPr>
                <w:rFonts w:ascii="微软雅黑" w:hAnsi="微软雅黑" w:eastAsia="微软雅黑" w:cs="微软雅黑"/>
                <w:sz w:val="24"/>
                <w:szCs w:val="24"/>
                <w:highlight w:val="none"/>
              </w:rPr>
            </w:pPr>
          </w:p>
        </w:tc>
        <w:tc>
          <w:tcPr>
            <w:tcW w:w="1065" w:type="dxa"/>
            <w:noWrap w:val="0"/>
            <w:vAlign w:val="top"/>
          </w:tcPr>
          <w:p w14:paraId="3C26AA01">
            <w:pPr>
              <w:spacing w:line="300" w:lineRule="exact"/>
              <w:rPr>
                <w:rFonts w:ascii="微软雅黑" w:hAnsi="微软雅黑" w:eastAsia="微软雅黑" w:cs="微软雅黑"/>
                <w:sz w:val="24"/>
                <w:szCs w:val="24"/>
                <w:highlight w:val="none"/>
              </w:rPr>
            </w:pPr>
          </w:p>
        </w:tc>
        <w:tc>
          <w:tcPr>
            <w:tcW w:w="2249" w:type="dxa"/>
            <w:noWrap w:val="0"/>
            <w:vAlign w:val="top"/>
          </w:tcPr>
          <w:p w14:paraId="3A337A93">
            <w:pPr>
              <w:spacing w:line="300" w:lineRule="exact"/>
              <w:rPr>
                <w:rFonts w:ascii="微软雅黑" w:hAnsi="微软雅黑" w:eastAsia="微软雅黑" w:cs="微软雅黑"/>
                <w:sz w:val="24"/>
                <w:szCs w:val="24"/>
                <w:highlight w:val="none"/>
              </w:rPr>
            </w:pPr>
          </w:p>
        </w:tc>
        <w:tc>
          <w:tcPr>
            <w:tcW w:w="1275" w:type="dxa"/>
            <w:noWrap w:val="0"/>
            <w:vAlign w:val="top"/>
          </w:tcPr>
          <w:p w14:paraId="1641DC75">
            <w:pPr>
              <w:spacing w:line="300" w:lineRule="exact"/>
              <w:rPr>
                <w:rFonts w:ascii="微软雅黑" w:hAnsi="微软雅黑" w:eastAsia="微软雅黑" w:cs="微软雅黑"/>
                <w:sz w:val="24"/>
                <w:szCs w:val="24"/>
                <w:highlight w:val="none"/>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8"/>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5F59C1E7">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3AC1AD3F">
            <w:pPr>
              <w:spacing w:line="300" w:lineRule="exact"/>
              <w:rPr>
                <w:rFonts w:ascii="微软雅黑" w:hAnsi="微软雅黑" w:eastAsia="微软雅黑" w:cs="微软雅黑"/>
                <w:sz w:val="24"/>
                <w:szCs w:val="24"/>
                <w:highlight w:val="none"/>
              </w:rPr>
            </w:pPr>
          </w:p>
        </w:tc>
      </w:tr>
    </w:tbl>
    <w:p w14:paraId="55A53F87">
      <w:pPr>
        <w:pStyle w:val="12"/>
        <w:ind w:firstLine="0"/>
        <w:rPr>
          <w:rFonts w:hint="eastAsia"/>
          <w:highlight w:val="none"/>
        </w:rPr>
      </w:pPr>
    </w:p>
    <w:p w14:paraId="56E8C518">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0793C269">
      <w:pPr>
        <w:spacing w:line="600" w:lineRule="exact"/>
        <w:ind w:firstLine="556" w:firstLineChars="200"/>
        <w:rPr>
          <w:rFonts w:ascii="微软雅黑" w:hAnsi="微软雅黑" w:eastAsia="微软雅黑" w:cs="微软雅黑"/>
          <w:sz w:val="30"/>
          <w:szCs w:val="30"/>
          <w:highlight w:val="none"/>
        </w:rPr>
      </w:pPr>
    </w:p>
    <w:p w14:paraId="498AA92E">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1A117DC9">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327E10E0">
      <w:pPr>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br w:type="page"/>
      </w:r>
    </w:p>
    <w:p w14:paraId="7C24943D">
      <w:pPr>
        <w:spacing w:line="594" w:lineRule="exact"/>
        <w:jc w:val="both"/>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101BC091">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4"/>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2339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0F68E4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64833F">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4908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1ACABC9">
            <w:pPr>
              <w:spacing w:line="594" w:lineRule="exact"/>
              <w:ind w:firstLine="556" w:firstLineChars="200"/>
              <w:rPr>
                <w:rFonts w:hint="eastAsia" w:ascii="方正仿宋_GBK" w:eastAsia="方正仿宋_GBK"/>
                <w:sz w:val="30"/>
                <w:szCs w:val="30"/>
                <w:highlight w:val="none"/>
              </w:rPr>
            </w:pPr>
          </w:p>
        </w:tc>
      </w:tr>
      <w:tr w14:paraId="3E2D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289A9B4">
            <w:pPr>
              <w:spacing w:line="594" w:lineRule="exact"/>
              <w:ind w:firstLine="556" w:firstLineChars="200"/>
              <w:rPr>
                <w:rFonts w:hint="eastAsia" w:ascii="方正仿宋_GBK" w:eastAsia="方正仿宋_GBK"/>
                <w:sz w:val="30"/>
                <w:szCs w:val="30"/>
                <w:highlight w:val="none"/>
              </w:rPr>
            </w:pPr>
          </w:p>
        </w:tc>
      </w:tr>
      <w:tr w14:paraId="720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9799B3B">
            <w:pPr>
              <w:spacing w:line="594" w:lineRule="exact"/>
              <w:ind w:firstLine="556" w:firstLineChars="200"/>
              <w:rPr>
                <w:rFonts w:hint="eastAsia" w:ascii="方正仿宋_GBK" w:eastAsia="方正仿宋_GBK"/>
                <w:sz w:val="30"/>
                <w:szCs w:val="30"/>
                <w:highlight w:val="none"/>
              </w:rPr>
            </w:pPr>
          </w:p>
        </w:tc>
      </w:tr>
      <w:tr w14:paraId="4A00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E121C9A">
            <w:pPr>
              <w:spacing w:line="594" w:lineRule="exact"/>
              <w:ind w:firstLine="556" w:firstLineChars="200"/>
              <w:rPr>
                <w:rFonts w:hint="eastAsia" w:ascii="方正仿宋_GBK" w:eastAsia="方正仿宋_GBK"/>
                <w:sz w:val="30"/>
                <w:szCs w:val="30"/>
                <w:highlight w:val="none"/>
              </w:rPr>
            </w:pPr>
          </w:p>
        </w:tc>
      </w:tr>
      <w:tr w14:paraId="4C8E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AD08DC">
            <w:pPr>
              <w:spacing w:line="594" w:lineRule="exact"/>
              <w:ind w:firstLine="556" w:firstLineChars="200"/>
              <w:rPr>
                <w:rFonts w:hint="eastAsia" w:ascii="方正仿宋_GBK" w:eastAsia="方正仿宋_GBK"/>
                <w:sz w:val="30"/>
                <w:szCs w:val="30"/>
                <w:highlight w:val="none"/>
              </w:rPr>
            </w:pPr>
          </w:p>
        </w:tc>
      </w:tr>
      <w:tr w14:paraId="5ADC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B11D512">
            <w:pPr>
              <w:spacing w:line="594" w:lineRule="exact"/>
              <w:ind w:firstLine="556" w:firstLineChars="200"/>
              <w:rPr>
                <w:rFonts w:hint="eastAsia" w:ascii="方正仿宋_GBK" w:eastAsia="方正仿宋_GBK"/>
                <w:sz w:val="30"/>
                <w:szCs w:val="30"/>
                <w:highlight w:val="none"/>
              </w:rPr>
            </w:pPr>
          </w:p>
        </w:tc>
      </w:tr>
      <w:tr w14:paraId="3A76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F9AD24C">
            <w:pPr>
              <w:spacing w:line="594" w:lineRule="exact"/>
              <w:ind w:firstLine="556" w:firstLineChars="200"/>
              <w:rPr>
                <w:rFonts w:hint="eastAsia" w:ascii="方正仿宋_GBK" w:eastAsia="方正仿宋_GBK"/>
                <w:sz w:val="30"/>
                <w:szCs w:val="30"/>
                <w:highlight w:val="none"/>
              </w:rPr>
            </w:pPr>
          </w:p>
        </w:tc>
      </w:tr>
      <w:tr w14:paraId="52BA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3C8CB64">
            <w:pPr>
              <w:spacing w:line="594" w:lineRule="exact"/>
              <w:ind w:firstLine="556" w:firstLineChars="200"/>
              <w:rPr>
                <w:rFonts w:hint="eastAsia" w:ascii="方正仿宋_GBK" w:eastAsia="方正仿宋_GBK"/>
                <w:sz w:val="30"/>
                <w:szCs w:val="30"/>
                <w:highlight w:val="none"/>
              </w:rPr>
            </w:pPr>
          </w:p>
        </w:tc>
      </w:tr>
      <w:tr w14:paraId="401A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948203C">
            <w:pPr>
              <w:spacing w:line="594" w:lineRule="exact"/>
              <w:ind w:firstLine="556" w:firstLineChars="200"/>
              <w:rPr>
                <w:rFonts w:hint="eastAsia" w:ascii="方正仿宋_GBK" w:eastAsia="方正仿宋_GBK"/>
                <w:sz w:val="30"/>
                <w:szCs w:val="30"/>
                <w:highlight w:val="none"/>
              </w:rPr>
            </w:pPr>
          </w:p>
        </w:tc>
      </w:tr>
      <w:tr w14:paraId="63BF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1AC802">
            <w:pPr>
              <w:spacing w:line="594" w:lineRule="exact"/>
              <w:ind w:firstLine="556" w:firstLineChars="200"/>
              <w:rPr>
                <w:rFonts w:hint="eastAsia" w:ascii="方正仿宋_GBK" w:eastAsia="方正仿宋_GBK"/>
                <w:sz w:val="30"/>
                <w:szCs w:val="30"/>
                <w:highlight w:val="none"/>
              </w:rPr>
            </w:pPr>
          </w:p>
        </w:tc>
      </w:tr>
      <w:tr w14:paraId="2900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96BCBA3">
            <w:pPr>
              <w:spacing w:line="594" w:lineRule="exact"/>
              <w:ind w:firstLine="556" w:firstLineChars="200"/>
              <w:rPr>
                <w:rFonts w:hint="eastAsia" w:ascii="方正仿宋_GBK" w:eastAsia="方正仿宋_GBK"/>
                <w:sz w:val="30"/>
                <w:szCs w:val="30"/>
                <w:highlight w:val="none"/>
              </w:rPr>
            </w:pPr>
          </w:p>
        </w:tc>
      </w:tr>
    </w:tbl>
    <w:p w14:paraId="70557DE1">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1E13594">
      <w:pPr>
        <w:numPr>
          <w:ilvl w:val="0"/>
          <w:numId w:val="8"/>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70C8F67D">
      <w:pPr>
        <w:numPr>
          <w:ilvl w:val="0"/>
          <w:numId w:val="8"/>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5E99A7EF">
      <w:pPr>
        <w:spacing w:line="594" w:lineRule="exact"/>
        <w:ind w:firstLine="596" w:firstLineChars="200"/>
        <w:rPr>
          <w:rFonts w:hint="eastAsia" w:ascii="方正仿宋_GBK" w:eastAsia="方正仿宋_GBK"/>
          <w:sz w:val="32"/>
          <w:szCs w:val="32"/>
          <w:highlight w:val="none"/>
        </w:rPr>
      </w:pPr>
    </w:p>
    <w:p w14:paraId="268CE2E4">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1EF405AD">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3656FCE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4"/>
        <w:tblW w:w="9969"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19"/>
        <w:gridCol w:w="3015"/>
        <w:gridCol w:w="1770"/>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2E14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A81C4EE">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CEDD229">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6CD4671">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8DF1012">
            <w:pPr>
              <w:spacing w:line="594" w:lineRule="exact"/>
              <w:ind w:firstLine="556" w:firstLineChars="200"/>
              <w:rPr>
                <w:rFonts w:hint="eastAsia" w:ascii="微软雅黑" w:hAnsi="微软雅黑" w:eastAsia="微软雅黑"/>
                <w:sz w:val="30"/>
                <w:szCs w:val="30"/>
                <w:highlight w:val="none"/>
              </w:rPr>
            </w:pPr>
          </w:p>
        </w:tc>
      </w:tr>
      <w:tr w14:paraId="472E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5F023D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ED0A842">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4427DD62">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AAE1F65">
            <w:pPr>
              <w:spacing w:line="594" w:lineRule="exact"/>
              <w:ind w:firstLine="556" w:firstLineChars="200"/>
              <w:rPr>
                <w:rFonts w:hint="eastAsia" w:ascii="微软雅黑" w:hAnsi="微软雅黑" w:eastAsia="微软雅黑"/>
                <w:sz w:val="30"/>
                <w:szCs w:val="30"/>
                <w:highlight w:val="none"/>
              </w:rPr>
            </w:pP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highlight w:val="none"/>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highlight w:val="none"/>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highlight w:val="none"/>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highlight w:val="none"/>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highlight w:val="none"/>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highlight w:val="none"/>
              </w:rPr>
            </w:pPr>
          </w:p>
        </w:tc>
      </w:tr>
    </w:tbl>
    <w:p w14:paraId="06B41339">
      <w:pPr>
        <w:spacing w:line="594" w:lineRule="exact"/>
        <w:ind w:firstLine="556" w:firstLineChars="200"/>
        <w:rPr>
          <w:rFonts w:hint="eastAsia" w:ascii="微软雅黑" w:hAnsi="微软雅黑" w:eastAsia="微软雅黑"/>
          <w:sz w:val="30"/>
          <w:szCs w:val="30"/>
          <w:highlight w:val="none"/>
        </w:rPr>
      </w:pPr>
    </w:p>
    <w:p w14:paraId="05B6F9B0">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D4D9BFE">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本项目其他采购人的业绩资料（如合同或发票等）。</w:t>
      </w:r>
    </w:p>
    <w:p w14:paraId="4ACD48E7">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0B342572">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w:t>
      </w:r>
    </w:p>
    <w:p w14:paraId="5F9D816F">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投标服务相关资料</w:t>
      </w:r>
    </w:p>
    <w:p w14:paraId="7B2E5811">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22F2D40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配套</w:t>
      </w:r>
      <w:r>
        <w:rPr>
          <w:rFonts w:hint="eastAsia" w:ascii="方正仿宋_GBK" w:hAnsi="方正仿宋_GBK" w:eastAsia="方正仿宋_GBK" w:cs="方正仿宋_GBK"/>
          <w:b/>
          <w:bCs/>
          <w:sz w:val="32"/>
          <w:szCs w:val="32"/>
          <w:highlight w:val="none"/>
        </w:rPr>
        <w:t>服务承诺</w:t>
      </w:r>
    </w:p>
    <w:p w14:paraId="20721E0A">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4C26E8B4">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___WRD_EMBED_SUB_53"/>
          <w:sz w:val="30"/>
          <w:szCs w:val="30"/>
          <w:highlight w:val="none"/>
        </w:rPr>
        <w:t>等）</w:t>
      </w:r>
    </w:p>
    <w:p w14:paraId="0EECF930">
      <w:pPr>
        <w:rPr>
          <w:rFonts w:hint="eastAsia" w:ascii="仿宋_GB2312" w:eastAsia="仿宋_GB2312" w:cs="宋体"/>
          <w:color w:val="auto"/>
          <w:sz w:val="32"/>
          <w:szCs w:val="32"/>
          <w:highlight w:val="none"/>
          <w:lang w:val="en-US" w:eastAsia="zh-CN"/>
        </w:rPr>
      </w:pPr>
    </w:p>
    <w:p w14:paraId="7ECFAA6F">
      <w:pPr>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br w:type="page"/>
      </w:r>
    </w:p>
    <w:p w14:paraId="64D4D3B3">
      <w:pPr>
        <w:pStyle w:val="5"/>
        <w:jc w:val="both"/>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宋体"/>
          <w:kern w:val="2"/>
          <w:sz w:val="32"/>
          <w:szCs w:val="32"/>
          <w:highlight w:val="none"/>
          <w:lang w:val="en-US" w:eastAsia="zh-CN" w:bidi="ar-SA"/>
        </w:rPr>
        <w:t>项目服务方案（应具体到</w:t>
      </w:r>
      <w:r>
        <w:rPr>
          <w:rFonts w:hint="eastAsia" w:ascii="仿宋_GB2312" w:eastAsia="仿宋_GB2312" w:cs="宋体"/>
          <w:kern w:val="2"/>
          <w:sz w:val="32"/>
          <w:szCs w:val="32"/>
          <w:highlight w:val="none"/>
          <w:lang w:val="en-US" w:eastAsia="zh-CN" w:bidi="ar-SA"/>
        </w:rPr>
        <w:t>样</w:t>
      </w:r>
      <w:r>
        <w:rPr>
          <w:rFonts w:hint="eastAsia" w:ascii="仿宋_GB2312" w:hAnsi="宋体" w:eastAsia="仿宋_GB2312" w:cs="宋体"/>
          <w:kern w:val="2"/>
          <w:sz w:val="32"/>
          <w:szCs w:val="32"/>
          <w:highlight w:val="none"/>
          <w:lang w:val="en-US" w:eastAsia="zh-CN" w:bidi="ar-SA"/>
        </w:rPr>
        <w:t>本接收运输管理、检测进度计划、项目阶段性沟通、人员设备安排、保密措施等）</w:t>
      </w:r>
    </w:p>
    <w:p w14:paraId="24D85696">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3C43D937">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275BC50E">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4F909946">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39B09101">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7954E"/>
    <w:multiLevelType w:val="singleLevel"/>
    <w:tmpl w:val="8797954E"/>
    <w:lvl w:ilvl="0" w:tentative="0">
      <w:start w:val="1"/>
      <w:numFmt w:val="decimal"/>
      <w:lvlText w:val="%1."/>
      <w:lvlJc w:val="left"/>
      <w:pPr>
        <w:tabs>
          <w:tab w:val="left" w:pos="312"/>
        </w:tabs>
      </w:pPr>
    </w:lvl>
  </w:abstractNum>
  <w:abstractNum w:abstractNumId="1">
    <w:nsid w:val="B255B1C6"/>
    <w:multiLevelType w:val="singleLevel"/>
    <w:tmpl w:val="B255B1C6"/>
    <w:lvl w:ilvl="0" w:tentative="0">
      <w:start w:val="1"/>
      <w:numFmt w:val="decimal"/>
      <w:suff w:val="nothing"/>
      <w:lvlText w:val="（%1）"/>
      <w:lvlJc w:val="left"/>
    </w:lvl>
  </w:abstractNum>
  <w:abstractNum w:abstractNumId="2">
    <w:nsid w:val="B25E35BA"/>
    <w:multiLevelType w:val="singleLevel"/>
    <w:tmpl w:val="B25E35BA"/>
    <w:lvl w:ilvl="0" w:tentative="0">
      <w:start w:val="2"/>
      <w:numFmt w:val="decimal"/>
      <w:lvlText w:val="%1."/>
      <w:lvlJc w:val="left"/>
      <w:pPr>
        <w:tabs>
          <w:tab w:val="left" w:pos="312"/>
        </w:tabs>
      </w:pPr>
    </w:lvl>
  </w:abstractNum>
  <w:abstractNum w:abstractNumId="3">
    <w:nsid w:val="16796E28"/>
    <w:multiLevelType w:val="singleLevel"/>
    <w:tmpl w:val="16796E28"/>
    <w:lvl w:ilvl="0" w:tentative="0">
      <w:start w:val="2"/>
      <w:numFmt w:val="chineseCounting"/>
      <w:suff w:val="nothing"/>
      <w:lvlText w:val="%1、"/>
      <w:lvlJc w:val="left"/>
      <w:rPr>
        <w:rFonts w:hint="eastAsia"/>
      </w:rPr>
    </w:lvl>
  </w:abstractNum>
  <w:abstractNum w:abstractNumId="4">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593E016B"/>
    <w:multiLevelType w:val="singleLevel"/>
    <w:tmpl w:val="593E016B"/>
    <w:lvl w:ilvl="0" w:tentative="0">
      <w:start w:val="1"/>
      <w:numFmt w:val="chineseCounting"/>
      <w:suff w:val="nothing"/>
      <w:lvlText w:val="%1、"/>
      <w:lvlJc w:val="left"/>
      <w:rPr>
        <w:rFonts w:hint="eastAsia"/>
      </w:rPr>
    </w:lvl>
  </w:abstractNum>
  <w:abstractNum w:abstractNumId="6">
    <w:nsid w:val="5A36E599"/>
    <w:multiLevelType w:val="singleLevel"/>
    <w:tmpl w:val="5A36E599"/>
    <w:lvl w:ilvl="0" w:tentative="0">
      <w:start w:val="6"/>
      <w:numFmt w:val="chineseCounting"/>
      <w:suff w:val="nothing"/>
      <w:lvlText w:val="（%1）"/>
      <w:lvlJc w:val="left"/>
      <w:rPr>
        <w:rFonts w:hint="eastAsia"/>
      </w:rPr>
    </w:lvl>
  </w:abstractNum>
  <w:abstractNum w:abstractNumId="7">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7"/>
  </w:num>
  <w:num w:numId="3">
    <w:abstractNumId w:val="5"/>
  </w:num>
  <w:num w:numId="4">
    <w:abstractNumId w:val="3"/>
  </w:num>
  <w:num w:numId="5">
    <w:abstractNumId w:val="0"/>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024C4"/>
    <w:rsid w:val="015B6D6E"/>
    <w:rsid w:val="02E501FA"/>
    <w:rsid w:val="03CE68FB"/>
    <w:rsid w:val="041961A8"/>
    <w:rsid w:val="04C70F47"/>
    <w:rsid w:val="056E5276"/>
    <w:rsid w:val="06FB539B"/>
    <w:rsid w:val="074B78AB"/>
    <w:rsid w:val="07F82B6D"/>
    <w:rsid w:val="09604328"/>
    <w:rsid w:val="0A86348F"/>
    <w:rsid w:val="0BCE4B39"/>
    <w:rsid w:val="0C872834"/>
    <w:rsid w:val="0C974041"/>
    <w:rsid w:val="0CB1115F"/>
    <w:rsid w:val="0CE64C8D"/>
    <w:rsid w:val="0D5C636E"/>
    <w:rsid w:val="0E440BB0"/>
    <w:rsid w:val="0E6637FD"/>
    <w:rsid w:val="0E6753E5"/>
    <w:rsid w:val="0E9F1F75"/>
    <w:rsid w:val="0F3D73C4"/>
    <w:rsid w:val="0FAB7A71"/>
    <w:rsid w:val="0FD01451"/>
    <w:rsid w:val="10945E1E"/>
    <w:rsid w:val="109A11ED"/>
    <w:rsid w:val="11594F0F"/>
    <w:rsid w:val="122D0B62"/>
    <w:rsid w:val="133D5E0A"/>
    <w:rsid w:val="17772668"/>
    <w:rsid w:val="1922346A"/>
    <w:rsid w:val="19375EE1"/>
    <w:rsid w:val="19FC6B1C"/>
    <w:rsid w:val="1A1C7FE3"/>
    <w:rsid w:val="1AAE2C67"/>
    <w:rsid w:val="1AF86BE0"/>
    <w:rsid w:val="1B3306B6"/>
    <w:rsid w:val="1BDE0896"/>
    <w:rsid w:val="1CF00EFC"/>
    <w:rsid w:val="1E552F6B"/>
    <w:rsid w:val="1F2F00AB"/>
    <w:rsid w:val="20746E51"/>
    <w:rsid w:val="21426D4A"/>
    <w:rsid w:val="229A0B71"/>
    <w:rsid w:val="22F03C5B"/>
    <w:rsid w:val="236757CC"/>
    <w:rsid w:val="23FB11F4"/>
    <w:rsid w:val="24D32F62"/>
    <w:rsid w:val="26541E80"/>
    <w:rsid w:val="28687E65"/>
    <w:rsid w:val="29AE2A56"/>
    <w:rsid w:val="29F1586C"/>
    <w:rsid w:val="29FA37EC"/>
    <w:rsid w:val="2A402D6D"/>
    <w:rsid w:val="2C3529EE"/>
    <w:rsid w:val="2C7E2617"/>
    <w:rsid w:val="2CC37769"/>
    <w:rsid w:val="2F2F3117"/>
    <w:rsid w:val="2FC44243"/>
    <w:rsid w:val="31092EA8"/>
    <w:rsid w:val="32214672"/>
    <w:rsid w:val="33FB61AD"/>
    <w:rsid w:val="342C6BC9"/>
    <w:rsid w:val="35761799"/>
    <w:rsid w:val="357C2FC3"/>
    <w:rsid w:val="376E6279"/>
    <w:rsid w:val="38A14340"/>
    <w:rsid w:val="396A2364"/>
    <w:rsid w:val="3A2C5456"/>
    <w:rsid w:val="3A8A6AFB"/>
    <w:rsid w:val="3B5B7766"/>
    <w:rsid w:val="3D8263F7"/>
    <w:rsid w:val="3E9F6BB4"/>
    <w:rsid w:val="40611EDD"/>
    <w:rsid w:val="41B900E2"/>
    <w:rsid w:val="439873F8"/>
    <w:rsid w:val="442069E9"/>
    <w:rsid w:val="44C5770F"/>
    <w:rsid w:val="44EF71C4"/>
    <w:rsid w:val="45170BAD"/>
    <w:rsid w:val="45EF05E5"/>
    <w:rsid w:val="471277E6"/>
    <w:rsid w:val="473F7C96"/>
    <w:rsid w:val="475D7492"/>
    <w:rsid w:val="482D6FF9"/>
    <w:rsid w:val="49470D20"/>
    <w:rsid w:val="496140CE"/>
    <w:rsid w:val="4AA416B0"/>
    <w:rsid w:val="4AE139DB"/>
    <w:rsid w:val="4B782C5C"/>
    <w:rsid w:val="4BDB0A24"/>
    <w:rsid w:val="4C31315D"/>
    <w:rsid w:val="4E3B1140"/>
    <w:rsid w:val="4F6D75ED"/>
    <w:rsid w:val="50F964C5"/>
    <w:rsid w:val="51352B6B"/>
    <w:rsid w:val="51736DAF"/>
    <w:rsid w:val="52F019A1"/>
    <w:rsid w:val="53A17F68"/>
    <w:rsid w:val="53DB6C22"/>
    <w:rsid w:val="55085A60"/>
    <w:rsid w:val="55956EC5"/>
    <w:rsid w:val="57744314"/>
    <w:rsid w:val="59A815C0"/>
    <w:rsid w:val="5BD41136"/>
    <w:rsid w:val="5DBD061A"/>
    <w:rsid w:val="5E932E93"/>
    <w:rsid w:val="5FA4498B"/>
    <w:rsid w:val="61130716"/>
    <w:rsid w:val="61143219"/>
    <w:rsid w:val="6138591F"/>
    <w:rsid w:val="61707CCC"/>
    <w:rsid w:val="61A6052D"/>
    <w:rsid w:val="626B6216"/>
    <w:rsid w:val="637666C3"/>
    <w:rsid w:val="63814C5E"/>
    <w:rsid w:val="643E385E"/>
    <w:rsid w:val="649966D5"/>
    <w:rsid w:val="64B2548C"/>
    <w:rsid w:val="67CF5844"/>
    <w:rsid w:val="69D01878"/>
    <w:rsid w:val="6A1F4430"/>
    <w:rsid w:val="6B247663"/>
    <w:rsid w:val="6BAB20AE"/>
    <w:rsid w:val="6D1F523E"/>
    <w:rsid w:val="6D204144"/>
    <w:rsid w:val="6D38732A"/>
    <w:rsid w:val="6DD05A39"/>
    <w:rsid w:val="6EC6360F"/>
    <w:rsid w:val="6F3E2352"/>
    <w:rsid w:val="6F9A2F0D"/>
    <w:rsid w:val="6FB940CF"/>
    <w:rsid w:val="70237F96"/>
    <w:rsid w:val="713118C3"/>
    <w:rsid w:val="71C02C3F"/>
    <w:rsid w:val="72BB5C94"/>
    <w:rsid w:val="732B3BA9"/>
    <w:rsid w:val="73C21B9F"/>
    <w:rsid w:val="74D3615F"/>
    <w:rsid w:val="75E0445A"/>
    <w:rsid w:val="77991C4E"/>
    <w:rsid w:val="77FA34D6"/>
    <w:rsid w:val="78024143"/>
    <w:rsid w:val="799B64FC"/>
    <w:rsid w:val="7AF0174A"/>
    <w:rsid w:val="7BDE27F0"/>
    <w:rsid w:val="7C6F2CF1"/>
    <w:rsid w:val="7C765833"/>
    <w:rsid w:val="7CA67789"/>
    <w:rsid w:val="7E192908"/>
    <w:rsid w:val="7EE67CE4"/>
    <w:rsid w:val="7FA7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next w:val="13"/>
    <w:qFormat/>
    <w:uiPriority w:val="0"/>
    <w:pPr>
      <w:spacing w:line="360" w:lineRule="auto"/>
      <w:ind w:firstLine="420"/>
    </w:pPr>
    <w:rPr>
      <w:rFonts w:ascii="宋体" w:hAnsi="宋体"/>
      <w:sz w:val="24"/>
    </w:rPr>
  </w:style>
  <w:style w:type="paragraph" w:styleId="13">
    <w:name w:val="Body Text First Indent 2"/>
    <w:basedOn w:val="6"/>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qFormat/>
    <w:uiPriority w:val="0"/>
    <w:rPr>
      <w:sz w:val="21"/>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6"/>
    <w:qFormat/>
    <w:uiPriority w:val="0"/>
    <w:rPr>
      <w:rFonts w:ascii="楷体" w:hAnsi="楷体" w:eastAsia="楷体" w:cs="楷体"/>
      <w:color w:val="000000"/>
      <w:sz w:val="22"/>
      <w:szCs w:val="22"/>
      <w:u w:val="none"/>
      <w:vertAlign w:val="superscript"/>
    </w:rPr>
  </w:style>
  <w:style w:type="character" w:customStyle="1" w:styleId="23">
    <w:name w:val="font21"/>
    <w:basedOn w:val="16"/>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6684</Words>
  <Characters>6933</Characters>
  <Lines>0</Lines>
  <Paragraphs>0</Paragraphs>
  <TotalTime>52</TotalTime>
  <ScaleCrop>false</ScaleCrop>
  <LinksUpToDate>false</LinksUpToDate>
  <CharactersWithSpaces>7498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2025-09-01T06:40:54Z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CE9D5840DD0C42DBA7277E0172C8442B_13</vt:lpwstr>
  </property>
  <property fmtid="{D5CDD505-2E9C-101B-9397-08002B2CF9AE}" pid="4" name="KSOTemplateDocerSaveRecord">
    <vt:lpwstr>eyJoZGlkIjoiNzdkNTM4MTkwYTE0Yjk0Y2Y4MjVlZDcwOGViZTQwYjIiLCJ1c2VySWQiOiIxMTc2NDE1MTk0In0=</vt:lpwstr>
  </property>
</Properties>
</file>