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：气管支架套装等一批耗材</w:t>
      </w:r>
      <w:r>
        <w:rPr>
          <w:rFonts w:hint="eastAsia" w:ascii="宋体" w:hAnsi="宋体" w:cs="Times New Roman"/>
          <w:sz w:val="32"/>
          <w:szCs w:val="32"/>
          <w:lang w:val="en-US" w:eastAsia="zh-CN"/>
        </w:rPr>
        <w:t>（第二次</w:t>
      </w:r>
      <w:bookmarkStart w:id="34" w:name="_GoBack"/>
      <w:bookmarkEnd w:id="34"/>
      <w:r>
        <w:rPr>
          <w:rFonts w:hint="eastAsia" w:ascii="宋体" w:hAnsi="宋体" w:cs="Times New Roman"/>
          <w:sz w:val="32"/>
          <w:szCs w:val="32"/>
          <w:lang w:val="en-US" w:eastAsia="zh-CN"/>
        </w:rPr>
        <w:t>）</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09010</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802"/>
        <w:gridCol w:w="1684"/>
        <w:gridCol w:w="2151"/>
        <w:gridCol w:w="8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80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68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2"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呼吸与危重症医学科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气管支架套装</w:t>
            </w:r>
          </w:p>
        </w:tc>
        <w:tc>
          <w:tcPr>
            <w:tcW w:w="180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支架形状分为直圆柱、双杯、双球、J形和Y形，置入器分为推送式产品由镍钛合金丝编织而成，支架置入后不受限核磁共振影响。支架尺寸直径10mm-22mm，长度 30mm-100mm。支架置入器外径：4mm-8mm，有效工作长度600mm-650mm</w:t>
            </w:r>
          </w:p>
        </w:tc>
        <w:tc>
          <w:tcPr>
            <w:tcW w:w="168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1.产品适用于因恶性病变造成的气管、支气管及隆突狭窄。</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支架、支架置入器</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3套</w:t>
            </w:r>
          </w:p>
        </w:tc>
        <w:tc>
          <w:tcPr>
            <w:tcW w:w="1073"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14000元元/套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呼吸与危重症医学科</w:t>
            </w:r>
          </w:p>
        </w:tc>
        <w:tc>
          <w:tcPr>
            <w:tcW w:w="1516"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可过活检孔道覆膜气管支架</w:t>
            </w:r>
          </w:p>
        </w:tc>
        <w:tc>
          <w:tcPr>
            <w:tcW w:w="1802"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支架成分为镍钛记忆合金丝 医用硅胶 超高分子量聚乙烯和聚丙烯置入器成分为医用不锈钢、PP、Pebax PTFE ABS 镍钛记忆合金丝；支架直径10mm、12mm、14mm、16mm、18mm，支架长度20mm、30mm、40mm、50mm、60m、70mm、80mm，多种规格型号供选择</w:t>
            </w:r>
          </w:p>
        </w:tc>
        <w:tc>
          <w:tcPr>
            <w:tcW w:w="1684"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晚期肺癌所致气管狭窄，纵隔及食管肿瘤造成管腔外压性狭窄及年龄大、全身状况不佳不能耐受手术的肿瘤患者</w:t>
            </w:r>
          </w:p>
        </w:tc>
        <w:tc>
          <w:tcPr>
            <w:tcW w:w="215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支架、支架置入器</w:t>
            </w:r>
          </w:p>
        </w:tc>
        <w:tc>
          <w:tcPr>
            <w:tcW w:w="885"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3件</w:t>
            </w:r>
          </w:p>
        </w:tc>
        <w:tc>
          <w:tcPr>
            <w:tcW w:w="1073"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18000元/件</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yellow"/>
          <w:lang w:val="en-US" w:eastAsia="zh-CN"/>
        </w:rPr>
        <w:t>供应商应完全响应本项目的所有产品</w:t>
      </w:r>
      <w:r>
        <w:rPr>
          <w:rFonts w:hint="eastAsia" w:ascii="方正仿宋_GBK" w:hAnsi="方正仿宋_GBK" w:eastAsia="方正仿宋_GBK" w:cs="方正仿宋_GBK"/>
          <w:kern w:val="0"/>
          <w:sz w:val="30"/>
          <w:szCs w:val="30"/>
          <w:highlight w:val="none"/>
          <w:lang w:val="en-US" w:eastAsia="zh-CN"/>
        </w:rPr>
        <w:t>，不接受供应商仅对目录中的部分产品进行投标响应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56196446"/>
      <w:bookmarkStart w:id="2" w:name="_Toc128229721"/>
      <w:bookmarkStart w:id="3" w:name="_Toc237057789"/>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730450"/>
      <w:bookmarkStart w:id="6" w:name="_Toc128229745"/>
      <w:bookmarkStart w:id="7" w:name="_Toc156196559"/>
      <w:bookmarkStart w:id="8" w:name="_Toc128229302"/>
      <w:bookmarkStart w:id="9" w:name="_Toc128229916"/>
      <w:bookmarkStart w:id="10" w:name="_Toc166549448"/>
      <w:bookmarkStart w:id="11" w:name="_Toc175017342"/>
      <w:bookmarkStart w:id="12" w:name="_Toc173677397"/>
      <w:bookmarkStart w:id="13" w:name="_Toc166139912"/>
      <w:bookmarkStart w:id="14" w:name="_Toc156196470"/>
      <w:bookmarkStart w:id="15" w:name="_Toc1568157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471"/>
      <w:bookmarkStart w:id="17" w:name="_Toc166549449"/>
      <w:bookmarkStart w:id="18" w:name="_Toc173677398"/>
      <w:bookmarkStart w:id="19" w:name="_Toc156730451"/>
      <w:bookmarkStart w:id="20" w:name="_Toc175017343"/>
      <w:bookmarkStart w:id="21" w:name="_Toc166139913"/>
      <w:bookmarkStart w:id="22" w:name="_Toc128229917"/>
      <w:bookmarkStart w:id="23" w:name="_Toc156815771"/>
      <w:bookmarkStart w:id="24" w:name="_Toc128229303"/>
      <w:bookmarkStart w:id="25" w:name="_Toc156196560"/>
      <w:bookmarkStart w:id="26" w:name="_Toc128229746"/>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304"/>
      <w:bookmarkStart w:id="28" w:name="_Toc128229747"/>
      <w:bookmarkStart w:id="29" w:name="_Toc156196472"/>
      <w:bookmarkStart w:id="30" w:name="_Toc175017344"/>
      <w:bookmarkStart w:id="31" w:name="_Toc173677399"/>
      <w:bookmarkStart w:id="32" w:name="_Toc128014297"/>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2.采购方式处，从下拉菜单中选择”药交所线上采购集采““7药交所线上采购非集采””药交所线上备案采购“，否则视为无效响应。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widowControl/>
        <w:numPr>
          <w:ilvl w:val="0"/>
          <w:numId w:val="4"/>
        </w:numPr>
        <w:jc w:val="left"/>
        <w:rPr>
          <w:rFonts w:hint="eastAsia" w:ascii="宋体" w:hAnsi="宋体"/>
          <w:b w:val="0"/>
          <w:bCs/>
          <w:color w:val="000000"/>
          <w:sz w:val="28"/>
          <w:szCs w:val="28"/>
          <w:highlight w:val="yellow"/>
          <w:lang w:val="en-US" w:eastAsia="zh-CN"/>
        </w:rPr>
      </w:pPr>
      <w:r>
        <w:rPr>
          <w:rFonts w:hint="eastAsia" w:ascii="宋体" w:hAnsi="宋体"/>
          <w:b w:val="0"/>
          <w:bCs/>
          <w:color w:val="000000"/>
          <w:sz w:val="28"/>
          <w:szCs w:val="28"/>
          <w:highlight w:val="yellow"/>
          <w:lang w:val="en-US" w:eastAsia="zh-CN"/>
        </w:rPr>
        <w:t>供应商中选后将此表电子档单独发到采购办邮箱。</w:t>
      </w:r>
    </w:p>
    <w:p>
      <w:pPr>
        <w:widowControl/>
        <w:numPr>
          <w:ilvl w:val="0"/>
          <w:numId w:val="4"/>
        </w:numPr>
        <w:jc w:val="left"/>
        <w:rPr>
          <w:rFonts w:hint="eastAsia" w:ascii="宋体" w:hAnsi="宋体"/>
          <w:b w:val="0"/>
          <w:bCs/>
          <w:color w:val="000000"/>
          <w:sz w:val="28"/>
          <w:szCs w:val="28"/>
          <w:highlight w:val="yellow"/>
          <w:lang w:val="en-US" w:eastAsia="zh-CN"/>
        </w:rPr>
      </w:pPr>
      <w:r>
        <w:rPr>
          <w:rFonts w:hint="eastAsia" w:ascii="宋体" w:hAnsi="宋体"/>
          <w:b w:val="0"/>
          <w:bCs/>
          <w:color w:val="000000"/>
          <w:sz w:val="28"/>
          <w:szCs w:val="28"/>
          <w:highlight w:val="yellow"/>
          <w:lang w:val="en-US" w:eastAsia="zh-CN"/>
        </w:rPr>
        <w:t>药交所线上最低成交价并非药交所挂网价。</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3C94DBA"/>
    <w:multiLevelType w:val="singleLevel"/>
    <w:tmpl w:val="23C94DBA"/>
    <w:lvl w:ilvl="0" w:tentative="0">
      <w:start w:val="2"/>
      <w:numFmt w:val="decimal"/>
      <w:lvlText w:val="%1."/>
      <w:lvlJc w:val="left"/>
      <w:pPr>
        <w:tabs>
          <w:tab w:val="left" w:pos="312"/>
        </w:tabs>
      </w:pPr>
    </w:lvl>
  </w:abstractNum>
  <w:abstractNum w:abstractNumId="2">
    <w:nsid w:val="2D1B8396"/>
    <w:multiLevelType w:val="singleLevel"/>
    <w:tmpl w:val="2D1B8396"/>
    <w:lvl w:ilvl="0" w:tentative="0">
      <w:start w:val="1"/>
      <w:numFmt w:val="decimal"/>
      <w:suff w:val="nothing"/>
      <w:lvlText w:val="%1、"/>
      <w:lvlJc w:val="left"/>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121180"/>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2FD93AF6"/>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BEF7421"/>
    <w:rsid w:val="4C071622"/>
    <w:rsid w:val="4C10664A"/>
    <w:rsid w:val="4CC6569A"/>
    <w:rsid w:val="4D0B0D27"/>
    <w:rsid w:val="4D380C2E"/>
    <w:rsid w:val="4E3A25BC"/>
    <w:rsid w:val="4EA57B48"/>
    <w:rsid w:val="50D61909"/>
    <w:rsid w:val="52DE7108"/>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10983</Words>
  <Characters>12308</Characters>
  <Lines>202</Lines>
  <Paragraphs>243</Paragraphs>
  <TotalTime>2</TotalTime>
  <ScaleCrop>false</ScaleCrop>
  <LinksUpToDate>false</LinksUpToDate>
  <CharactersWithSpaces>12996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2025-10-09T01:17:55Z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14B55E93CE874D60AEFA85ECB882546A_13</vt:lpwstr>
  </property>
  <property fmtid="{D5CDD505-2E9C-101B-9397-08002B2CF9AE}" pid="4" name="KSOTemplateDocerSaveRecord">
    <vt:lpwstr>eyJoZGlkIjoiNzliNmRkY2YyN2FjZDQwMDgzZGM4ZDZkNTA3MTFmNGMiLCJ1c2VySWQiOiIxNjE2MTQ1MTM5In0=</vt:lpwstr>
  </property>
</Properties>
</file>