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32"/>
          <w:szCs w:val="32"/>
          <w:lang w:val="en-US" w:eastAsia="zh-CN"/>
        </w:rPr>
      </w:pPr>
      <w:r>
        <w:rPr>
          <w:rFonts w:hint="eastAsia"/>
          <w:sz w:val="32"/>
          <w:szCs w:val="32"/>
          <w:lang w:val="en-US" w:eastAsia="zh-CN"/>
        </w:rPr>
        <w:t>附件1</w:t>
      </w:r>
    </w:p>
    <w:p>
      <w:pPr>
        <w:jc w:val="center"/>
        <w:rPr>
          <w:rFonts w:hint="default"/>
          <w:sz w:val="36"/>
          <w:szCs w:val="36"/>
          <w:lang w:val="en-US" w:eastAsia="zh-CN"/>
        </w:rPr>
      </w:pPr>
      <w:r>
        <w:rPr>
          <w:rFonts w:hint="eastAsia"/>
          <w:sz w:val="36"/>
          <w:szCs w:val="36"/>
          <w:lang w:val="en-US" w:eastAsia="zh-CN"/>
        </w:rPr>
        <w:t>禁止类医疗技术目录</w:t>
      </w:r>
    </w:p>
    <w:tbl>
      <w:tblPr>
        <w:tblStyle w:val="3"/>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338"/>
        <w:gridCol w:w="2416"/>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numPr>
                <w:ilvl w:val="0"/>
                <w:numId w:val="0"/>
              </w:numPr>
              <w:spacing w:line="360" w:lineRule="auto"/>
              <w:jc w:val="center"/>
              <w:rPr>
                <w:rFonts w:hint="eastAsia" w:ascii="宋体" w:hAnsi="宋体" w:eastAsia="宋体" w:cs="宋体"/>
                <w:b/>
                <w:bCs w:val="0"/>
                <w:i w:val="0"/>
                <w:iCs w:val="0"/>
                <w:caps w:val="0"/>
                <w:color w:val="auto"/>
                <w:spacing w:val="0"/>
                <w:kern w:val="0"/>
                <w:sz w:val="24"/>
                <w:szCs w:val="24"/>
                <w:u w:val="none"/>
                <w:vertAlign w:val="baseline"/>
                <w:lang w:val="en-US" w:eastAsia="zh-CN" w:bidi="ar"/>
              </w:rPr>
            </w:pPr>
            <w:r>
              <w:rPr>
                <w:rFonts w:hint="eastAsia" w:ascii="宋体" w:hAnsi="宋体" w:eastAsia="宋体" w:cs="宋体"/>
                <w:b/>
                <w:bCs w:val="0"/>
                <w:i w:val="0"/>
                <w:iCs w:val="0"/>
                <w:caps w:val="0"/>
                <w:color w:val="auto"/>
                <w:spacing w:val="0"/>
                <w:kern w:val="0"/>
                <w:sz w:val="24"/>
                <w:szCs w:val="24"/>
                <w:u w:val="none"/>
                <w:vertAlign w:val="baseline"/>
                <w:lang w:val="en-US" w:eastAsia="zh-CN" w:bidi="ar"/>
              </w:rPr>
              <w:t>序号</w:t>
            </w:r>
          </w:p>
        </w:tc>
        <w:tc>
          <w:tcPr>
            <w:tcW w:w="2338" w:type="dxa"/>
          </w:tcPr>
          <w:p>
            <w:pPr>
              <w:numPr>
                <w:ilvl w:val="0"/>
                <w:numId w:val="0"/>
              </w:numPr>
              <w:spacing w:line="360" w:lineRule="auto"/>
              <w:jc w:val="center"/>
              <w:rPr>
                <w:rFonts w:hint="eastAsia" w:ascii="宋体" w:hAnsi="宋体" w:eastAsia="宋体" w:cs="宋体"/>
                <w:b/>
                <w:bCs w:val="0"/>
                <w:i w:val="0"/>
                <w:iCs w:val="0"/>
                <w:caps w:val="0"/>
                <w:color w:val="auto"/>
                <w:spacing w:val="0"/>
                <w:kern w:val="0"/>
                <w:sz w:val="24"/>
                <w:szCs w:val="24"/>
                <w:u w:val="none"/>
                <w:vertAlign w:val="baseline"/>
                <w:lang w:val="en-US" w:eastAsia="zh-CN" w:bidi="ar"/>
              </w:rPr>
            </w:pPr>
            <w:r>
              <w:rPr>
                <w:rFonts w:hint="eastAsia" w:ascii="宋体" w:hAnsi="宋体" w:eastAsia="宋体" w:cs="宋体"/>
                <w:b/>
                <w:bCs w:val="0"/>
                <w:i w:val="0"/>
                <w:iCs w:val="0"/>
                <w:caps w:val="0"/>
                <w:color w:val="auto"/>
                <w:spacing w:val="0"/>
                <w:kern w:val="0"/>
                <w:sz w:val="24"/>
                <w:szCs w:val="24"/>
                <w:u w:val="none"/>
                <w:vertAlign w:val="baseline"/>
                <w:lang w:val="en-US" w:eastAsia="zh-CN" w:bidi="ar"/>
              </w:rPr>
              <w:t>技术名称</w:t>
            </w:r>
          </w:p>
        </w:tc>
        <w:tc>
          <w:tcPr>
            <w:tcW w:w="2416" w:type="dxa"/>
          </w:tcPr>
          <w:p>
            <w:pPr>
              <w:numPr>
                <w:ilvl w:val="0"/>
                <w:numId w:val="0"/>
              </w:numPr>
              <w:spacing w:line="360" w:lineRule="auto"/>
              <w:jc w:val="center"/>
              <w:rPr>
                <w:rFonts w:hint="eastAsia" w:ascii="宋体" w:hAnsi="宋体" w:eastAsia="宋体" w:cs="宋体"/>
                <w:b/>
                <w:bCs w:val="0"/>
                <w:i w:val="0"/>
                <w:iCs w:val="0"/>
                <w:caps w:val="0"/>
                <w:color w:val="auto"/>
                <w:spacing w:val="0"/>
                <w:kern w:val="0"/>
                <w:sz w:val="24"/>
                <w:szCs w:val="24"/>
                <w:u w:val="none"/>
                <w:vertAlign w:val="baseline"/>
                <w:lang w:val="en-US" w:eastAsia="zh-CN" w:bidi="ar"/>
              </w:rPr>
            </w:pPr>
            <w:r>
              <w:rPr>
                <w:rFonts w:hint="eastAsia" w:ascii="宋体" w:hAnsi="宋体" w:eastAsia="宋体" w:cs="宋体"/>
                <w:b/>
                <w:bCs w:val="0"/>
                <w:i w:val="0"/>
                <w:iCs w:val="0"/>
                <w:caps w:val="0"/>
                <w:color w:val="auto"/>
                <w:spacing w:val="0"/>
                <w:kern w:val="0"/>
                <w:sz w:val="24"/>
                <w:szCs w:val="24"/>
                <w:u w:val="none"/>
                <w:vertAlign w:val="baseline"/>
                <w:lang w:val="en-US" w:eastAsia="zh-CN" w:bidi="ar"/>
              </w:rPr>
              <w:t>原因</w:t>
            </w:r>
          </w:p>
        </w:tc>
        <w:tc>
          <w:tcPr>
            <w:tcW w:w="8384" w:type="dxa"/>
          </w:tcPr>
          <w:p>
            <w:pPr>
              <w:numPr>
                <w:ilvl w:val="0"/>
                <w:numId w:val="0"/>
              </w:numPr>
              <w:spacing w:line="360" w:lineRule="auto"/>
              <w:jc w:val="center"/>
              <w:rPr>
                <w:rFonts w:hint="eastAsia" w:ascii="宋体" w:hAnsi="宋体" w:eastAsia="宋体" w:cs="宋体"/>
                <w:b/>
                <w:bCs w:val="0"/>
                <w:i w:val="0"/>
                <w:iCs w:val="0"/>
                <w:caps w:val="0"/>
                <w:color w:val="auto"/>
                <w:spacing w:val="0"/>
                <w:kern w:val="0"/>
                <w:sz w:val="24"/>
                <w:szCs w:val="24"/>
                <w:u w:val="none"/>
                <w:vertAlign w:val="baseline"/>
                <w:lang w:val="en-US" w:eastAsia="zh-CN" w:bidi="ar"/>
              </w:rPr>
            </w:pPr>
            <w:r>
              <w:rPr>
                <w:rFonts w:hint="eastAsia" w:ascii="宋体" w:hAnsi="宋体" w:eastAsia="宋体" w:cs="宋体"/>
                <w:b/>
                <w:bCs w:val="0"/>
                <w:i w:val="0"/>
                <w:iCs w:val="0"/>
                <w:caps w:val="0"/>
                <w:color w:val="auto"/>
                <w:spacing w:val="0"/>
                <w:kern w:val="0"/>
                <w:sz w:val="24"/>
                <w:szCs w:val="24"/>
                <w:u w:val="none"/>
                <w:vertAlign w:val="baseline"/>
                <w:lang w:val="en-US" w:eastAsia="zh-CN" w:bidi="ar"/>
              </w:rPr>
              <w:t>文件来源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numPr>
                <w:ilvl w:val="0"/>
                <w:numId w:val="0"/>
              </w:numPr>
              <w:spacing w:line="360" w:lineRule="auto"/>
              <w:jc w:val="center"/>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vertAlign w:val="baseline"/>
                <w:lang w:val="en-US" w:eastAsia="zh-CN" w:bidi="ar"/>
              </w:rPr>
              <w:t>１</w:t>
            </w:r>
          </w:p>
        </w:tc>
        <w:tc>
          <w:tcPr>
            <w:tcW w:w="2338"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脑下垂体酒精毁损术治疗顽固性疼痛</w:t>
            </w:r>
          </w:p>
        </w:tc>
        <w:tc>
          <w:tcPr>
            <w:tcW w:w="2416"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安全性、有效性存在重大问题</w:t>
            </w:r>
          </w:p>
        </w:tc>
        <w:tc>
          <w:tcPr>
            <w:tcW w:w="8384"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《国家卫生计生委关于取消第三类医疗技术临床应用准入审批有关工作的通知》（国卫医发〔2015〕71号）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numPr>
                <w:ilvl w:val="0"/>
                <w:numId w:val="0"/>
              </w:numPr>
              <w:spacing w:line="360" w:lineRule="auto"/>
              <w:jc w:val="center"/>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vertAlign w:val="baseline"/>
                <w:lang w:val="en-US" w:eastAsia="zh-CN" w:bidi="ar"/>
              </w:rPr>
              <w:t>２</w:t>
            </w:r>
          </w:p>
        </w:tc>
        <w:tc>
          <w:tcPr>
            <w:tcW w:w="2338"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克隆治疗技术</w:t>
            </w:r>
          </w:p>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p>
        </w:tc>
        <w:tc>
          <w:tcPr>
            <w:tcW w:w="2416"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存在重大伦理问题</w:t>
            </w:r>
          </w:p>
        </w:tc>
        <w:tc>
          <w:tcPr>
            <w:tcW w:w="8384"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《国家卫生计生委关于取消第三类医疗技术临床应用准入审批有关工作的通知》（国卫医发〔2015〕71号）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numPr>
                <w:ilvl w:val="0"/>
                <w:numId w:val="0"/>
              </w:numPr>
              <w:spacing w:line="360" w:lineRule="auto"/>
              <w:jc w:val="center"/>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vertAlign w:val="baseline"/>
                <w:lang w:val="en-US" w:eastAsia="zh-CN" w:bidi="ar"/>
              </w:rPr>
              <w:t>３</w:t>
            </w:r>
          </w:p>
        </w:tc>
        <w:tc>
          <w:tcPr>
            <w:tcW w:w="2338"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代孕技术</w:t>
            </w:r>
          </w:p>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p>
        </w:tc>
        <w:tc>
          <w:tcPr>
            <w:tcW w:w="2416"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存在重大伦理问题</w:t>
            </w:r>
          </w:p>
        </w:tc>
        <w:tc>
          <w:tcPr>
            <w:tcW w:w="8384"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《国家卫生计生委关于取消第三类医疗技术临床应用准入审批有关工作的通知》（国卫医发〔2015〕71号）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numPr>
                <w:ilvl w:val="0"/>
                <w:numId w:val="0"/>
              </w:numPr>
              <w:spacing w:line="360" w:lineRule="auto"/>
              <w:jc w:val="center"/>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vertAlign w:val="baseline"/>
                <w:lang w:val="en-US" w:eastAsia="zh-CN" w:bidi="ar"/>
              </w:rPr>
              <w:t>４</w:t>
            </w:r>
          </w:p>
        </w:tc>
        <w:tc>
          <w:tcPr>
            <w:tcW w:w="2338"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除医疗目的以外的肢体延长术</w:t>
            </w:r>
          </w:p>
        </w:tc>
        <w:tc>
          <w:tcPr>
            <w:tcW w:w="2416"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卫生计生行政部门门明令禁上临床应用</w:t>
            </w:r>
          </w:p>
        </w:tc>
        <w:tc>
          <w:tcPr>
            <w:tcW w:w="8384"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《国家卫生计生委关于取消第三类医疗技术临床应用准入审批有关工作的通知》（国卫医发〔2015〕71号）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numPr>
                <w:ilvl w:val="0"/>
                <w:numId w:val="0"/>
              </w:numPr>
              <w:spacing w:line="360" w:lineRule="auto"/>
              <w:jc w:val="center"/>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vertAlign w:val="baseline"/>
                <w:lang w:val="en-US" w:eastAsia="zh-CN" w:bidi="ar"/>
              </w:rPr>
              <w:t>５</w:t>
            </w:r>
          </w:p>
        </w:tc>
        <w:tc>
          <w:tcPr>
            <w:tcW w:w="2338"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角膜放射状切开术</w:t>
            </w:r>
          </w:p>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p>
        </w:tc>
        <w:tc>
          <w:tcPr>
            <w:tcW w:w="2416"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临床已淘汰</w:t>
            </w:r>
          </w:p>
        </w:tc>
        <w:tc>
          <w:tcPr>
            <w:tcW w:w="8384"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《国家卫生计生委关于取消第三类医疗技术临床应用准入审批有关工作的通知》（国卫医发〔2015〕71号）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numPr>
                <w:ilvl w:val="0"/>
                <w:numId w:val="0"/>
              </w:numPr>
              <w:spacing w:line="360" w:lineRule="auto"/>
              <w:jc w:val="center"/>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vertAlign w:val="baseline"/>
                <w:lang w:val="en-US" w:eastAsia="zh-CN" w:bidi="ar"/>
              </w:rPr>
              <w:t>６</w:t>
            </w:r>
          </w:p>
        </w:tc>
        <w:tc>
          <w:tcPr>
            <w:tcW w:w="2338"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小腿神经离断瘦腿手术</w:t>
            </w:r>
          </w:p>
        </w:tc>
        <w:tc>
          <w:tcPr>
            <w:tcW w:w="2416"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vertAlign w:val="baseline"/>
                <w:lang w:val="en-US" w:eastAsia="zh-CN" w:bidi="ar"/>
              </w:rPr>
              <w:t>存在严重安全性问题，有悖于医学伦理</w:t>
            </w:r>
          </w:p>
        </w:tc>
        <w:tc>
          <w:tcPr>
            <w:tcW w:w="8384" w:type="dxa"/>
          </w:tcPr>
          <w:p>
            <w:pPr>
              <w:numPr>
                <w:ilvl w:val="0"/>
                <w:numId w:val="0"/>
              </w:numPr>
              <w:spacing w:line="360" w:lineRule="auto"/>
              <w:jc w:val="left"/>
              <w:rPr>
                <w:rFonts w:hint="eastAsia" w:ascii="宋体" w:hAnsi="宋体" w:eastAsia="宋体" w:cs="宋体"/>
                <w:b w:val="0"/>
                <w:bCs/>
                <w:i w:val="0"/>
                <w:iCs w:val="0"/>
                <w:caps w:val="0"/>
                <w:color w:val="auto"/>
                <w:spacing w:val="0"/>
                <w:kern w:val="0"/>
                <w:sz w:val="24"/>
                <w:szCs w:val="24"/>
                <w:u w:val="none"/>
                <w:vertAlign w:val="baseline"/>
                <w:lang w:val="en-US" w:eastAsia="zh-CN" w:bidi="ar"/>
              </w:rPr>
            </w:pPr>
            <w:r>
              <w:rPr>
                <w:rFonts w:hint="eastAsia" w:ascii="宋体" w:hAnsi="宋体" w:eastAsia="宋体" w:cs="宋体"/>
                <w:b w:val="0"/>
                <w:bCs/>
                <w:i w:val="0"/>
                <w:iCs w:val="0"/>
                <w:caps w:val="0"/>
                <w:color w:val="auto"/>
                <w:spacing w:val="0"/>
                <w:kern w:val="0"/>
                <w:sz w:val="24"/>
                <w:szCs w:val="24"/>
                <w:u w:val="none"/>
                <w:lang w:val="en-US" w:eastAsia="zh-CN" w:bidi="ar"/>
              </w:rPr>
              <w:t>《国家卫生健康委办公厅关于禁止开展“小腿神经离断瘦腿手术”的通知》（国卫办医函〔2021〕410号）</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WYxYzcwZWYxYTcwMTVjMjQxOTkwYTc3NmQ0MmUifQ=="/>
  </w:docVars>
  <w:rsids>
    <w:rsidRoot w:val="00000000"/>
    <w:rsid w:val="377B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2023-10-19T10:13:15Z</dcterms:created>
  <dc:creator>Administrator.K-201711211523</dc:creator>
  <cp:lastModifiedBy>哈密瓜</cp:lastModifiedBy>
  <dcterms:modified xsi:type="dcterms:W3CDTF">2023-10-19T10:13:28Z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043F979DA7C54B3695AC54E25FD3A3D5_12</vt:lpwstr>
  </property>
</Properties>
</file>