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项目名称：2025年火灾公众责任险</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93"/>
        <w:gridCol w:w="968"/>
        <w:gridCol w:w="1293"/>
        <w:gridCol w:w="1293"/>
      </w:tblGrid>
      <w:tr w14:paraId="49824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1"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56" w:type="pct"/>
            <w:vAlign w:val="center"/>
          </w:tcPr>
          <w:p w14:paraId="2B9ABEC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预算（元）</w:t>
            </w:r>
          </w:p>
        </w:tc>
      </w:tr>
      <w:tr w14:paraId="194E8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2025年火灾公众责任险</w:t>
            </w:r>
          </w:p>
        </w:tc>
        <w:tc>
          <w:tcPr>
            <w:tcW w:w="491"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656" w:type="pct"/>
            <w:vAlign w:val="center"/>
          </w:tcPr>
          <w:p w14:paraId="038321C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51600</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28"/>
          <w:szCs w:val="28"/>
          <w:lang w:val="en-US" w:eastAsia="zh-CN"/>
        </w:rPr>
        <w:t>医院总建筑面积206400平方米（含新院区183600平方米，发热门诊1800平方米，东关院区15000平方米，感染病院区6000平方米），保险期限为1年，人财保额不低于1200万（其中主险800万，附加险400万）</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51600元。报价要求：本次报价为人民币包干价，包含：保费、现场踏勘费用、资料装订及邮寄费、税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合同签订后一次性支付成交价的100%。付款时供应商须提交全额发票和保单。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1574C31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根据合同、保单、招采文件进行验收，验收产生争议由采购人委托第三方机构验收，费用由中选供应商承担。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（1）服务期内供应商应免费提供电话咨询等服务，30分钟达到现场处置，按照公司内部最快时限定损及理赔。</w:t>
      </w:r>
    </w:p>
    <w:p w14:paraId="55F8BB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（2）合同签订后，对保单内容进行培训，确保采购人具体经办人知晓并按照承保公司要求进行报案等处理。</w:t>
      </w:r>
    </w:p>
    <w:p w14:paraId="38CDE66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（3）及时关注医院消防安全，对有安全隐患及时向采购人书面提出。</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FAFE43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时来院处置，将承担500元/次的违约金；供应商及其产品发生泄漏医院数据及患者隐私事件，采购人有权解除合同并要求供应商返还已支付款项并承担合同金额1倍的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1A51C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目录（投标资料有页码，方便采购人查询对应资料所在位置）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11.质保期内售后服务承诺（如何理赔等）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13</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EBBAF1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027043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237057793"/>
      <w:bookmarkStart w:id="3" w:name="_Toc173677399"/>
      <w:bookmarkStart w:id="4" w:name="_Toc128229747"/>
      <w:bookmarkStart w:id="5" w:name="_Toc175017344"/>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C06E7F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505BA3D6">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77B1C813">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BAA85B1">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bookmarkStart w:id="7" w:name="_GoBack"/>
      <w:bookmarkEnd w:id="7"/>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5326B3"/>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5072</Words>
  <Characters>5255</Characters>
  <Lines>0</Lines>
  <Paragraphs>0</Paragraphs>
  <TotalTime>12</TotalTime>
  <ScaleCrop>false</ScaleCrop>
  <LinksUpToDate>false</LinksUpToDate>
  <CharactersWithSpaces>5820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2024-12-31T04:10:44Z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