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bookmarkStart w:id="34" w:name="_GoBack"/>
      <w:bookmarkEnd w:id="34"/>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eastAsia="宋体" w:cs="Times New Roman"/>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w:t>
      </w:r>
      <w:r>
        <w:rPr>
          <w:rFonts w:hint="eastAsia" w:ascii="宋体" w:hAnsi="宋体" w:cs="Times New Roman"/>
          <w:sz w:val="32"/>
          <w:szCs w:val="32"/>
          <w:lang w:val="en-US" w:eastAsia="zh-CN"/>
        </w:rPr>
        <w:t>免疫球蛋白G检测试剂盒</w:t>
      </w:r>
      <w:r>
        <w:rPr>
          <w:rFonts w:hint="eastAsia" w:ascii="宋体" w:hAnsi="宋体" w:eastAsia="宋体" w:cs="Times New Roman"/>
          <w:sz w:val="32"/>
          <w:szCs w:val="32"/>
          <w:lang w:val="en-US" w:eastAsia="zh-CN"/>
        </w:rPr>
        <w:t>等一批耗材（第二次）</w:t>
      </w:r>
    </w:p>
    <w:p>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11002</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11</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一、技术要求（必须完全响应）</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747"/>
        <w:gridCol w:w="1516"/>
        <w:gridCol w:w="1802"/>
        <w:gridCol w:w="1684"/>
        <w:gridCol w:w="2151"/>
        <w:gridCol w:w="88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1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80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15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检验医学科</w:t>
            </w:r>
          </w:p>
        </w:tc>
        <w:tc>
          <w:tcPr>
            <w:tcW w:w="151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免疫球蛋白G检测试剂盒（散射比浊法）</w:t>
            </w:r>
          </w:p>
        </w:tc>
        <w:tc>
          <w:tcPr>
            <w:tcW w:w="18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稀释缓冲液：1×50ml，抗体溶液：1×10ml/盒</w:t>
            </w:r>
          </w:p>
        </w:tc>
        <w:tc>
          <w:tcPr>
            <w:tcW w:w="168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该设备需适用于博士泰BA400，用于体外定量检测人体样本（尿液或血清）中免疫球蛋白G（IgG）的含量</w:t>
            </w:r>
          </w:p>
        </w:tc>
        <w:tc>
          <w:tcPr>
            <w:tcW w:w="215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主要由液体+塑料试剂瓶+纸盒组成，抗免疫球蛋白G抗体与样本中的抗原反应形成抗原抗体复合物。该复合物导致散射光强度变化与IgG的浓度成比例，可进行速率散射比浊测定</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3600测试</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10.5元/测试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检验医学科</w:t>
            </w:r>
          </w:p>
        </w:tc>
        <w:tc>
          <w:tcPr>
            <w:tcW w:w="151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免疫球蛋白A检测试剂盒（散射比浊法）</w:t>
            </w:r>
          </w:p>
        </w:tc>
        <w:tc>
          <w:tcPr>
            <w:tcW w:w="18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稀释缓冲液：1×50ml，抗体溶液：1×10ml/盒</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该设备需适用于博士泰BA400，于体外定量检测人体样本（血清）中免疫球蛋白A(IgA)的含量。</w:t>
            </w:r>
          </w:p>
        </w:tc>
        <w:tc>
          <w:tcPr>
            <w:tcW w:w="215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主要由液体+塑料试剂瓶+纸盒组成，抗免疫球蛋白 A 抗体与样本中的抗原反应形成抗原抗体复合物。该复合物导致散射光强度变化与 IgA 的浓度成比例，可进行速率散射比浊测定</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3500测试</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6元/测试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检验医学科</w:t>
            </w:r>
          </w:p>
        </w:tc>
        <w:tc>
          <w:tcPr>
            <w:tcW w:w="15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免疫球蛋白M检测试剂盒（散射比浊法）</w:t>
            </w:r>
          </w:p>
        </w:tc>
        <w:tc>
          <w:tcPr>
            <w:tcW w:w="18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缓冲液：1×50ml，抗体溶液：1×10ml/盒</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该设备需适用于博士泰BA400，用于体外定量检测人体样本（血清）中免疫球蛋白M(IgM)的含量</w:t>
            </w:r>
          </w:p>
        </w:tc>
        <w:tc>
          <w:tcPr>
            <w:tcW w:w="215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主要由液体+塑料试剂瓶+纸盒组成，抗免疫球蛋白 M 抗体与样本中的抗原反应形成抗原抗体复合物。该复合物导致散射光强度变化与 IgM 的浓度成比例，可进行速率散射比浊测定</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3500测试</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6元/测试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7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检验医学科</w:t>
            </w:r>
          </w:p>
        </w:tc>
        <w:tc>
          <w:tcPr>
            <w:tcW w:w="15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补体C3检测试剂盒（散射比浊法）</w:t>
            </w:r>
          </w:p>
        </w:tc>
        <w:tc>
          <w:tcPr>
            <w:tcW w:w="18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稀释缓冲液：1×50ml，抗体溶液：1×10ml/盒</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该设备需适用于博士泰BA400，用于体外定量检测人体样本（血清）中补体C3含量。</w:t>
            </w:r>
          </w:p>
        </w:tc>
        <w:tc>
          <w:tcPr>
            <w:tcW w:w="215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主要由液体+塑料试剂瓶+纸盒组成，抗补体C3抗体与样本中的抗原反应形成抗原抗体复合物。凝集后，该复合物导致散射光强度变化与C3的浓度成比例，可进行速率散射比浊测定</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3500测试</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6元/测试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7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检验医学科</w:t>
            </w:r>
          </w:p>
        </w:tc>
        <w:tc>
          <w:tcPr>
            <w:tcW w:w="15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补体C4检测试剂盒（散射比浊法）</w:t>
            </w:r>
          </w:p>
        </w:tc>
        <w:tc>
          <w:tcPr>
            <w:tcW w:w="18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稀释缓冲液：1×50ml，抗体溶液：1×10ml/盒</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该设备需适用于博士泰BA400，用于体外定量检测人体样本（血清）中补体C4含量。</w:t>
            </w:r>
          </w:p>
        </w:tc>
        <w:tc>
          <w:tcPr>
            <w:tcW w:w="215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主要由液体+塑料试剂瓶+纸盒组成，抗补体C4抗体与样本中的抗原反应形成抗原抗体复合物。凝集后，该复合物导致散射光强度变化与C4的浓度成比例，可进行速率散射比浊测定</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3500测试</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6元/测试</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cyan"/>
          <w:lang w:val="en-US" w:eastAsia="zh-CN"/>
        </w:rPr>
      </w:pPr>
      <w:r>
        <w:rPr>
          <w:rFonts w:hint="eastAsia" w:ascii="仿宋" w:hAnsi="仿宋" w:eastAsia="仿宋"/>
          <w:b/>
          <w:color w:val="auto"/>
          <w:sz w:val="28"/>
          <w:szCs w:val="28"/>
          <w:highlight w:val="none"/>
          <w:lang w:val="en-US" w:eastAsia="zh-CN"/>
        </w:rPr>
        <w:t>注：年预估用量并非采购量承诺，以实际用量据实结算。供应商提供的产品超出采购人的需求，将视为无效响应。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9.</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10.</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11.违约责任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w:t>
      </w:r>
      <w:r>
        <w:rPr>
          <w:rFonts w:hint="eastAsia" w:ascii="方正仿宋_GBK" w:hAnsi="方正仿宋_GBK" w:eastAsia="方正仿宋_GBK" w:cs="方正仿宋_GBK"/>
          <w:b/>
          <w:bCs/>
          <w:kern w:val="0"/>
          <w:sz w:val="30"/>
          <w:szCs w:val="30"/>
          <w:highlight w:val="none"/>
          <w:lang w:val="en-US" w:eastAsia="zh-CN"/>
        </w:rPr>
        <w:t>联合体投标</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cyan"/>
          <w:lang w:val="en-US" w:eastAsia="zh-CN"/>
        </w:rPr>
        <w:t>供应商应完全响应本项目的所有产品</w:t>
      </w:r>
      <w:r>
        <w:rPr>
          <w:rFonts w:hint="eastAsia" w:ascii="方正仿宋_GBK" w:hAnsi="方正仿宋_GBK" w:eastAsia="方正仿宋_GBK" w:cs="方正仿宋_GBK"/>
          <w:kern w:val="0"/>
          <w:sz w:val="30"/>
          <w:szCs w:val="30"/>
          <w:highlight w:val="none"/>
          <w:lang w:val="en-US" w:eastAsia="zh-CN"/>
        </w:rPr>
        <w:t>，不接受供应商仅对目录中的部分产品进行投标响应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237057789"/>
      <w:bookmarkStart w:id="1" w:name="_Toc128229278"/>
      <w:bookmarkStart w:id="2" w:name="_Toc128229721"/>
      <w:bookmarkStart w:id="3" w:name="_Toc156196446"/>
      <w:bookmarkStart w:id="4" w:name="_Toc128014287"/>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技术要求和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302"/>
      <w:bookmarkStart w:id="6" w:name="_Toc156730450"/>
      <w:bookmarkStart w:id="7" w:name="_Toc166549448"/>
      <w:bookmarkStart w:id="8" w:name="_Toc128229916"/>
      <w:bookmarkStart w:id="9" w:name="_Toc156815770"/>
      <w:bookmarkStart w:id="10" w:name="_Toc173677397"/>
      <w:bookmarkStart w:id="11" w:name="_Toc128229745"/>
      <w:bookmarkStart w:id="12" w:name="_Toc175017342"/>
      <w:bookmarkStart w:id="13" w:name="_Toc166139912"/>
      <w:bookmarkStart w:id="14" w:name="_Toc156196559"/>
      <w:bookmarkStart w:id="15" w:name="_Toc15619647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815771"/>
      <w:bookmarkStart w:id="17" w:name="_Toc175017343"/>
      <w:bookmarkStart w:id="18" w:name="_Toc156196471"/>
      <w:bookmarkStart w:id="19" w:name="_Toc156196560"/>
      <w:bookmarkStart w:id="20" w:name="_Toc128229746"/>
      <w:bookmarkStart w:id="21" w:name="_Toc128229917"/>
      <w:bookmarkStart w:id="22" w:name="_Toc173677398"/>
      <w:bookmarkStart w:id="23" w:name="_Toc166549449"/>
      <w:bookmarkStart w:id="24" w:name="_Toc166139913"/>
      <w:bookmarkStart w:id="25" w:name="_Toc128229303"/>
      <w:bookmarkStart w:id="26" w:name="_Toc15673045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5017344"/>
      <w:bookmarkStart w:id="28" w:name="_Toc128014297"/>
      <w:bookmarkStart w:id="29" w:name="_Toc128229304"/>
      <w:bookmarkStart w:id="30" w:name="_Toc173677399"/>
      <w:bookmarkStart w:id="31" w:name="_Toc128229747"/>
      <w:bookmarkStart w:id="32" w:name="_Toc156196472"/>
      <w:bookmarkStart w:id="33" w:name="_Toc237057793"/>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p>
    <w:p>
      <w:pPr>
        <w:snapToGrid w:val="0"/>
        <w:spacing w:line="600" w:lineRule="exact"/>
        <w:ind w:firstLine="900" w:firstLineChars="3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1.报价保留2位小数；</w:t>
      </w:r>
    </w:p>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2.</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900" w:firstLineChars="3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3.采购方式处，从下拉菜单中选择”药交所线上采购集采“”药交所线上采购非集采“或”药交所线上备案采购“，否则视为无效响应。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或测试，而合同的结算单位为盒/瓶，需按照产品说明书或行业规范明确每人份或测试的用量，结合中选价格转换成每盒或每瓶的价格，如产品不同品牌每人份用量可能不同，供应商应提供相关说明书或指导标准最终每人份用量，同时需采购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2266D76"/>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BEA2284"/>
    <w:rsid w:val="1C2E45B1"/>
    <w:rsid w:val="1CF64572"/>
    <w:rsid w:val="1D38070F"/>
    <w:rsid w:val="1F446E3C"/>
    <w:rsid w:val="1F4E6F21"/>
    <w:rsid w:val="1F9F1AB3"/>
    <w:rsid w:val="20262375"/>
    <w:rsid w:val="206B29E9"/>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DBC134A"/>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23A80"/>
    <w:rsid w:val="45A7242F"/>
    <w:rsid w:val="46F936A8"/>
    <w:rsid w:val="4755437D"/>
    <w:rsid w:val="47AF4141"/>
    <w:rsid w:val="48481EDA"/>
    <w:rsid w:val="4B000257"/>
    <w:rsid w:val="4B01127E"/>
    <w:rsid w:val="4BE06497"/>
    <w:rsid w:val="4BEF7421"/>
    <w:rsid w:val="4C031B3F"/>
    <w:rsid w:val="4C071622"/>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332BE5"/>
    <w:rsid w:val="593D31AB"/>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7AD76C5"/>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11307</Words>
  <Characters>12630</Characters>
  <Lines>202</Lines>
  <Paragraphs>243</Paragraphs>
  <TotalTime>0</TotalTime>
  <ScaleCrop>false</ScaleCrop>
  <LinksUpToDate>false</LinksUpToDate>
  <CharactersWithSpaces>13320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2025-11-12T07:47:00Z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F749674A1D4A4029B0D237B01BA1959B_13</vt:lpwstr>
  </property>
  <property fmtid="{D5CDD505-2E9C-101B-9397-08002B2CF9AE}" pid="4" name="KSOTemplateDocerSaveRecord">
    <vt:lpwstr>eyJoZGlkIjoiNzliNmRkY2YyN2FjZDQwMDgzZGM4ZDZkNTA3MTFmNGMiLCJ1c2VySWQiOiIxNjE2MTQ1MTM5In0=</vt:lpwstr>
  </property>
</Properties>
</file>