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rPr>
          <w:rFonts w:hint="eastAsia"/>
          <w:lang w:val="en-US" w:eastAsia="zh-CN"/>
        </w:rPr>
      </w:pPr>
    </w:p>
    <w:p>
      <w:pPr>
        <w:jc w:val="center"/>
        <w:rPr>
          <w:rFonts w:hint="eastAsia"/>
          <w:b/>
          <w:bCs/>
          <w:sz w:val="84"/>
          <w:szCs w:val="84"/>
          <w:lang w:val="en-US" w:eastAsia="zh-CN"/>
        </w:rPr>
      </w:pPr>
    </w:p>
    <w:p>
      <w:pPr>
        <w:jc w:val="center"/>
        <w:rPr>
          <w:rFonts w:hint="eastAsia"/>
          <w:b/>
          <w:bCs/>
          <w:sz w:val="84"/>
          <w:szCs w:val="84"/>
          <w:lang w:val="en-US" w:eastAsia="zh-CN"/>
        </w:rPr>
      </w:pPr>
      <w:r>
        <w:rPr>
          <w:rFonts w:hint="eastAsia"/>
          <w:b/>
          <w:bCs/>
          <w:sz w:val="84"/>
          <w:szCs w:val="84"/>
          <w:lang w:val="en-US" w:eastAsia="zh-CN"/>
        </w:rPr>
        <w:t>封面</w:t>
      </w:r>
    </w:p>
    <w:p>
      <w:pPr>
        <w:jc w:val="center"/>
        <w:rPr>
          <w:rFonts w:hint="eastAsia"/>
          <w:b/>
          <w:bCs/>
          <w:sz w:val="84"/>
          <w:szCs w:val="84"/>
          <w:lang w:val="en-US" w:eastAsia="zh-CN"/>
        </w:rPr>
      </w:pPr>
      <w:r>
        <w:rPr>
          <w:rFonts w:hint="eastAsia"/>
          <w:b/>
          <w:bCs/>
          <w:sz w:val="84"/>
          <w:szCs w:val="84"/>
          <w:lang w:val="en-US" w:eastAsia="zh-CN"/>
        </w:rPr>
        <w:t>投标报价文件</w:t>
      </w:r>
    </w:p>
    <w:p>
      <w:pPr>
        <w:jc w:val="center"/>
        <w:rPr>
          <w:rFonts w:hint="eastAsia"/>
          <w:b/>
          <w:bCs/>
          <w:sz w:val="44"/>
          <w:szCs w:val="44"/>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项目名称：公交一卡通</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项目编号：BSRMYY-YNCG-2024-06003</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pPr>
        <w:rPr>
          <w:rFonts w:hint="eastAsia"/>
          <w:sz w:val="44"/>
          <w:szCs w:val="44"/>
          <w:lang w:val="en-US" w:eastAsia="zh-CN"/>
        </w:rPr>
      </w:pPr>
      <w:r>
        <w:rPr>
          <w:rFonts w:hint="eastAsia"/>
          <w:sz w:val="44"/>
          <w:szCs w:val="44"/>
          <w:lang w:val="en-US" w:eastAsia="zh-CN"/>
        </w:rPr>
        <w:br w:type="page"/>
      </w:r>
    </w:p>
    <w:p>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pPr>
        <w:autoSpaceDE w:val="0"/>
        <w:autoSpaceDN w:val="0"/>
        <w:adjustRightInd w:val="0"/>
        <w:snapToGrid w:val="0"/>
        <w:spacing w:line="360" w:lineRule="auto"/>
        <w:ind w:left="0" w:leftChars="0" w:firstLine="640" w:firstLineChars="20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1.</w:t>
      </w:r>
      <w:r>
        <w:rPr>
          <w:rFonts w:hint="eastAsia" w:ascii="仿宋_GB2312" w:hAnsi="宋体" w:eastAsia="仿宋_GB2312" w:cs="宋体"/>
          <w:color w:val="auto"/>
          <w:sz w:val="32"/>
          <w:szCs w:val="32"/>
          <w:lang w:val="en-US" w:eastAsia="zh-CN"/>
        </w:rPr>
        <w:t>营业执照复印或扫描件（须圈出符合资质要求的经营范围和有效期）</w:t>
      </w:r>
      <w:r>
        <w:rPr>
          <w:rFonts w:hint="eastAsia" w:ascii="仿宋_GB2312" w:hAnsi="宋体" w:eastAsia="仿宋_GB2312" w:cs="宋体"/>
          <w:color w:val="auto"/>
          <w:sz w:val="32"/>
          <w:szCs w:val="32"/>
          <w:lang w:val="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zh-CN" w:eastAsia="zh-CN"/>
        </w:rPr>
      </w:pPr>
      <w:r>
        <w:rPr>
          <w:rFonts w:hint="eastAsia" w:ascii="仿宋_GB2312" w:hAnsi="宋体" w:eastAsia="仿宋_GB2312" w:cs="宋体"/>
          <w:color w:val="auto"/>
          <w:sz w:val="32"/>
          <w:szCs w:val="32"/>
          <w:lang w:val="en-US" w:eastAsia="zh-CN"/>
        </w:rPr>
        <w:t>2</w:t>
      </w:r>
      <w:r>
        <w:rPr>
          <w:rFonts w:hint="eastAsia" w:ascii="仿宋_GB2312" w:hAnsi="宋体" w:eastAsia="仿宋_GB2312" w:cs="宋体"/>
          <w:color w:val="auto"/>
          <w:sz w:val="32"/>
          <w:szCs w:val="32"/>
          <w:lang w:val="zh-CN" w:eastAsia="zh-CN"/>
        </w:rPr>
        <w:t>.</w:t>
      </w:r>
      <w:r>
        <w:rPr>
          <w:rFonts w:hint="eastAsia" w:ascii="仿宋_GB2312" w:hAnsi="宋体" w:eastAsia="仿宋_GB2312" w:cs="宋体"/>
          <w:color w:val="auto"/>
          <w:sz w:val="32"/>
          <w:szCs w:val="32"/>
          <w:lang w:val="en-US" w:eastAsia="zh-CN"/>
        </w:rPr>
        <w:t>报价表</w:t>
      </w:r>
      <w:r>
        <w:rPr>
          <w:rFonts w:hint="eastAsia" w:ascii="仿宋_GB2312" w:hAnsi="宋体" w:eastAsia="仿宋_GB2312" w:cs="宋体"/>
          <w:color w:val="auto"/>
          <w:sz w:val="32"/>
          <w:szCs w:val="32"/>
          <w:lang w:val="zh-CN" w:eastAsia="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3.法人身份证明。</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4.法人授权委托书。</w:t>
      </w:r>
    </w:p>
    <w:p>
      <w:pPr>
        <w:pStyle w:val="4"/>
        <w:ind w:left="0" w:leftChars="0" w:firstLine="640" w:firstLineChars="200"/>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4"/>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6.其他可以证明投标人有能力完成本项目的佐证材料（如公司介绍、产品检测报告等）。</w:t>
      </w:r>
    </w:p>
    <w:p>
      <w:pPr>
        <w:ind w:left="0" w:leftChars="0" w:firstLine="640" w:firstLineChars="200"/>
        <w:rPr>
          <w:rFonts w:hint="default"/>
          <w:lang w:val="en-US" w:eastAsia="zh-CN"/>
        </w:rPr>
      </w:pPr>
      <w:r>
        <w:rPr>
          <w:rFonts w:hint="eastAsia" w:ascii="仿宋_GB2312" w:eastAsia="仿宋_GB2312" w:cs="宋体"/>
          <w:color w:val="auto"/>
          <w:sz w:val="32"/>
          <w:szCs w:val="32"/>
          <w:lang w:val="en-US" w:eastAsia="zh-CN"/>
        </w:rPr>
        <w:t>7.投标产品相关资料（合格证、医疗器械注册证或备案证、产品参数性能彩页、检验检测报告等）。</w:t>
      </w:r>
    </w:p>
    <w:p>
      <w:pPr>
        <w:spacing w:line="594" w:lineRule="exact"/>
        <w:ind w:left="0" w:leftChars="0" w:firstLine="640" w:firstLineChars="200"/>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8.质保及售后服务承诺。</w:t>
      </w:r>
    </w:p>
    <w:p>
      <w:pPr>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9.质保期后易损配件报价。</w:t>
      </w:r>
    </w:p>
    <w:p>
      <w:pPr>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eastAsia="仿宋_GB2312" w:cs="宋体"/>
          <w:color w:val="auto"/>
          <w:sz w:val="32"/>
          <w:szCs w:val="32"/>
          <w:lang w:val="en-US" w:eastAsia="zh-CN"/>
        </w:rPr>
        <w:t>10.</w:t>
      </w:r>
      <w:r>
        <w:rPr>
          <w:rFonts w:hint="eastAsia" w:ascii="仿宋_GB2312" w:hAnsi="宋体" w:eastAsia="仿宋_GB2312" w:cs="宋体"/>
          <w:color w:val="auto"/>
          <w:sz w:val="32"/>
          <w:szCs w:val="32"/>
          <w:lang w:val="en-US" w:eastAsia="zh-CN"/>
        </w:rPr>
        <w:t>投标廉政承诺。</w:t>
      </w:r>
    </w:p>
    <w:p>
      <w:pPr>
        <w:ind w:left="0" w:leftChars="0" w:firstLine="640" w:firstLineChars="200"/>
        <w:rPr>
          <w:rFonts w:hint="default"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11.密封档案袋格式要求。</w:t>
      </w:r>
    </w:p>
    <w:p>
      <w:pPr>
        <w:ind w:left="0" w:leftChars="0" w:firstLine="420" w:firstLineChars="200"/>
        <w:rPr>
          <w:rFonts w:hint="default"/>
          <w:lang w:val="en-US" w:eastAsia="zh-CN"/>
        </w:rPr>
      </w:pPr>
    </w:p>
    <w:p>
      <w:pPr>
        <w:rPr>
          <w:rFonts w:hint="eastAsia"/>
          <w:lang w:val="en-US" w:eastAsia="zh-CN"/>
        </w:rPr>
      </w:pPr>
      <w:r>
        <w:rPr>
          <w:rFonts w:hint="eastAsia" w:ascii="仿宋_GB2312" w:eastAsia="仿宋_GB2312" w:cs="宋体"/>
          <w:color w:val="auto"/>
          <w:sz w:val="32"/>
          <w:szCs w:val="32"/>
          <w:lang w:val="en-US" w:eastAsia="zh-CN"/>
        </w:rPr>
        <w:t xml:space="preserve">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 xml:space="preserve">投标单位（盖章）：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法人或</w:t>
      </w:r>
      <w:r>
        <w:rPr>
          <w:rFonts w:hint="eastAsia" w:ascii="仿宋_GB2312" w:hAnsi="宋体" w:eastAsia="仿宋_GB2312" w:cs="宋体"/>
          <w:color w:val="auto"/>
          <w:sz w:val="32"/>
          <w:szCs w:val="32"/>
          <w:lang w:val="en-US" w:eastAsia="zh-CN"/>
        </w:rPr>
        <w:t>被</w:t>
      </w:r>
      <w:r>
        <w:rPr>
          <w:rFonts w:hint="eastAsia" w:ascii="仿宋_GB2312" w:hAnsi="宋体" w:eastAsia="仿宋_GB2312" w:cs="宋体"/>
          <w:color w:val="auto"/>
          <w:sz w:val="32"/>
          <w:szCs w:val="32"/>
          <w:lang w:val="zh-CN"/>
        </w:rPr>
        <w:t>授权代表人（</w:t>
      </w:r>
      <w:r>
        <w:rPr>
          <w:rFonts w:hint="eastAsia" w:ascii="仿宋_GB2312" w:hAnsi="宋体" w:eastAsia="仿宋_GB2312" w:cs="宋体"/>
          <w:color w:val="auto"/>
          <w:sz w:val="32"/>
          <w:szCs w:val="32"/>
          <w:lang w:val="en-US" w:eastAsia="zh-CN"/>
        </w:rPr>
        <w:t>签名</w:t>
      </w:r>
      <w:r>
        <w:rPr>
          <w:rFonts w:hint="eastAsia" w:ascii="仿宋_GB2312" w:hAnsi="宋体" w:eastAsia="仿宋_GB2312" w:cs="宋体"/>
          <w:color w:val="auto"/>
          <w:sz w:val="32"/>
          <w:szCs w:val="32"/>
          <w:lang w:val="zh-CN"/>
        </w:rPr>
        <w:t xml:space="preserve">）：  </w:t>
      </w:r>
    </w:p>
    <w:p>
      <w:pPr>
        <w:autoSpaceDE w:val="0"/>
        <w:autoSpaceDN w:val="0"/>
        <w:adjustRightInd w:val="0"/>
        <w:snapToGrid w:val="0"/>
        <w:spacing w:line="360" w:lineRule="auto"/>
        <w:ind w:right="480" w:firstLine="6240" w:firstLineChars="1950"/>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1.公司营业执照（须圈出符合资质要求的经营范围和有效期）</w:t>
      </w:r>
    </w:p>
    <w:p>
      <w:pPr>
        <w:rPr>
          <w:rFonts w:hint="eastAsia"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24"/>
          <w:szCs w:val="24"/>
          <w:lang w:val="en-US" w:eastAsia="zh-CN" w:bidi="ar-SA"/>
        </w:rPr>
        <w:br w:type="page"/>
      </w:r>
    </w:p>
    <w:p>
      <w:pPr>
        <w:rPr>
          <w:rFonts w:hint="default"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t>2.报价表</w:t>
      </w:r>
    </w:p>
    <w:p>
      <w:pPr>
        <w:numPr>
          <w:ilvl w:val="0"/>
          <w:numId w:val="0"/>
        </w:numPr>
        <w:wordWrap w:val="0"/>
        <w:spacing w:line="440" w:lineRule="exact"/>
        <w:ind w:firstLine="562" w:firstLineChars="200"/>
        <w:rPr>
          <w:rFonts w:hint="eastAsia"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 xml:space="preserve">                  </w:t>
      </w:r>
      <w:r>
        <w:rPr>
          <w:rFonts w:hint="eastAsia" w:ascii="仿宋" w:hAnsi="仿宋" w:eastAsia="仿宋" w:cs="仿宋"/>
          <w:b/>
          <w:bCs/>
          <w:color w:val="auto"/>
          <w:sz w:val="36"/>
          <w:szCs w:val="24"/>
          <w:lang w:val="en-US" w:eastAsia="zh-CN"/>
        </w:rPr>
        <w:t xml:space="preserve">     </w:t>
      </w:r>
    </w:p>
    <w:p>
      <w:pPr>
        <w:pStyle w:val="17"/>
        <w:jc w:val="center"/>
        <w:rPr>
          <w:rFonts w:hint="default"/>
          <w:lang w:val="en-US" w:eastAsia="zh-CN"/>
        </w:rPr>
      </w:pPr>
      <w:r>
        <w:rPr>
          <w:rFonts w:hint="eastAsia" w:ascii="仿宋" w:hAnsi="仿宋" w:eastAsia="仿宋" w:cs="仿宋"/>
          <w:b/>
          <w:bCs/>
          <w:color w:val="auto"/>
          <w:sz w:val="36"/>
          <w:szCs w:val="24"/>
          <w:lang w:val="en-US" w:eastAsia="zh-CN"/>
        </w:rPr>
        <w:t>报价表</w:t>
      </w:r>
    </w:p>
    <w:p>
      <w:pPr>
        <w:pStyle w:val="17"/>
        <w:rPr>
          <w:rFonts w:hint="eastAsia"/>
          <w:lang w:val="en-US" w:eastAsia="zh-CN"/>
        </w:rPr>
      </w:pPr>
    </w:p>
    <w:tbl>
      <w:tblPr>
        <w:tblStyle w:val="12"/>
        <w:tblW w:w="10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1894"/>
        <w:gridCol w:w="4378"/>
        <w:gridCol w:w="1063"/>
        <w:gridCol w:w="1309"/>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0488" w:type="dxa"/>
            <w:gridSpan w:val="6"/>
            <w:tcBorders>
              <w:top w:val="single" w:color="auto" w:sz="4" w:space="0"/>
              <w:left w:val="single" w:color="auto" w:sz="4" w:space="0"/>
            </w:tcBorders>
            <w:vAlign w:val="center"/>
          </w:tcPr>
          <w:p>
            <w:pPr>
              <w:widowControl/>
              <w:spacing w:line="360" w:lineRule="auto"/>
              <w:jc w:val="left"/>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32"/>
                <w:szCs w:val="32"/>
                <w:lang w:val="en-US" w:eastAsia="zh-CN"/>
              </w:rPr>
              <w:t>一、采购人需求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0488" w:type="dxa"/>
            <w:gridSpan w:val="6"/>
            <w:tcBorders>
              <w:top w:val="single" w:color="auto" w:sz="4" w:space="0"/>
              <w:left w:val="single" w:color="auto" w:sz="4" w:space="0"/>
            </w:tcBorders>
            <w:vAlign w:val="center"/>
          </w:tcPr>
          <w:p>
            <w:pPr>
              <w:widowControl/>
              <w:spacing w:line="360" w:lineRule="auto"/>
              <w:jc w:val="left"/>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24"/>
                <w:szCs w:val="24"/>
                <w:lang w:val="en-US" w:eastAsia="zh-CN"/>
              </w:rPr>
              <w:t>（一）技术参数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61" w:type="dxa"/>
            <w:tcBorders>
              <w:top w:val="single" w:color="auto" w:sz="4" w:space="0"/>
              <w:left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lang w:val="en-US" w:eastAsia="zh-CN" w:bidi="ar-SA"/>
              </w:rPr>
            </w:pPr>
            <w:r>
              <w:rPr>
                <w:rFonts w:hint="default" w:ascii="Times New Roman" w:hAnsi="Times New Roman" w:eastAsia="仿宋" w:cs="Times New Roman"/>
                <w:b/>
                <w:kern w:val="0"/>
                <w:sz w:val="24"/>
                <w:szCs w:val="24"/>
              </w:rPr>
              <w:t>序号</w:t>
            </w:r>
          </w:p>
        </w:tc>
        <w:tc>
          <w:tcPr>
            <w:tcW w:w="1894" w:type="dxa"/>
            <w:tcBorders>
              <w:top w:val="single" w:color="auto" w:sz="4" w:space="0"/>
              <w:left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lang w:val="en-US" w:eastAsia="zh-CN" w:bidi="ar-SA"/>
              </w:rPr>
            </w:pPr>
            <w:r>
              <w:rPr>
                <w:rFonts w:hint="default" w:ascii="Times New Roman" w:hAnsi="Times New Roman" w:eastAsia="仿宋" w:cs="Times New Roman"/>
                <w:b/>
                <w:kern w:val="0"/>
                <w:sz w:val="24"/>
                <w:szCs w:val="24"/>
              </w:rPr>
              <w:t>产品名称</w:t>
            </w:r>
          </w:p>
        </w:tc>
        <w:tc>
          <w:tcPr>
            <w:tcW w:w="4378" w:type="dxa"/>
            <w:vAlign w:val="center"/>
          </w:tcPr>
          <w:p>
            <w:pPr>
              <w:widowControl/>
              <w:spacing w:line="360" w:lineRule="auto"/>
              <w:jc w:val="center"/>
              <w:rPr>
                <w:rFonts w:hint="eastAsia" w:ascii="Times New Roman" w:hAnsi="Times New Roman" w:eastAsia="仿宋" w:cs="Times New Roman"/>
                <w:b/>
                <w:kern w:val="0"/>
                <w:sz w:val="24"/>
                <w:szCs w:val="24"/>
                <w:lang w:val="en-US" w:eastAsia="zh-CN" w:bidi="ar-SA"/>
              </w:rPr>
            </w:pPr>
            <w:r>
              <w:rPr>
                <w:rFonts w:hint="eastAsia" w:ascii="Times New Roman" w:hAnsi="Times New Roman" w:eastAsia="仿宋" w:cs="Times New Roman"/>
                <w:b/>
                <w:kern w:val="0"/>
                <w:sz w:val="24"/>
                <w:szCs w:val="24"/>
                <w:lang w:val="en-US" w:eastAsia="zh-CN"/>
              </w:rPr>
              <w:t>参数要求</w:t>
            </w:r>
            <w:r>
              <w:rPr>
                <w:rFonts w:hint="eastAsia" w:ascii="Times New Roman" w:hAnsi="Times New Roman" w:eastAsia="仿宋" w:cs="Times New Roman"/>
                <w:b/>
                <w:bCs w:val="0"/>
                <w:kern w:val="0"/>
                <w:sz w:val="24"/>
                <w:szCs w:val="24"/>
                <w:lang w:val="en-US" w:eastAsia="zh-CN"/>
              </w:rPr>
              <w:t>（须完全响应）</w:t>
            </w:r>
          </w:p>
        </w:tc>
        <w:tc>
          <w:tcPr>
            <w:tcW w:w="1063" w:type="dxa"/>
            <w:vAlign w:val="center"/>
          </w:tcPr>
          <w:p>
            <w:pPr>
              <w:widowControl/>
              <w:spacing w:line="360" w:lineRule="auto"/>
              <w:jc w:val="center"/>
              <w:rPr>
                <w:rFonts w:hint="eastAsia" w:ascii="Times New Roman" w:hAnsi="Times New Roman" w:eastAsia="仿宋" w:cs="Times New Roman"/>
                <w:b/>
                <w:kern w:val="0"/>
                <w:sz w:val="24"/>
                <w:szCs w:val="24"/>
                <w:lang w:val="en-US" w:eastAsia="zh-CN" w:bidi="ar-SA"/>
              </w:rPr>
            </w:pPr>
            <w:r>
              <w:rPr>
                <w:rFonts w:hint="eastAsia" w:eastAsia="仿宋" w:cs="Times New Roman"/>
                <w:b/>
                <w:kern w:val="0"/>
                <w:sz w:val="24"/>
                <w:szCs w:val="24"/>
                <w:lang w:eastAsia="zh-CN"/>
              </w:rPr>
              <w:t>数量（</w:t>
            </w:r>
            <w:r>
              <w:rPr>
                <w:rFonts w:hint="eastAsia" w:eastAsia="仿宋" w:cs="Times New Roman"/>
                <w:b/>
                <w:kern w:val="0"/>
                <w:sz w:val="24"/>
                <w:szCs w:val="24"/>
                <w:lang w:val="en-US" w:eastAsia="zh-CN"/>
              </w:rPr>
              <w:t>个</w:t>
            </w:r>
            <w:r>
              <w:rPr>
                <w:rFonts w:hint="eastAsia" w:eastAsia="仿宋" w:cs="Times New Roman"/>
                <w:b/>
                <w:kern w:val="0"/>
                <w:sz w:val="24"/>
                <w:szCs w:val="24"/>
                <w:lang w:eastAsia="zh-CN"/>
              </w:rPr>
              <w:t>）</w:t>
            </w:r>
          </w:p>
        </w:tc>
        <w:tc>
          <w:tcPr>
            <w:tcW w:w="1309" w:type="dxa"/>
            <w:vAlign w:val="center"/>
          </w:tcPr>
          <w:p>
            <w:pPr>
              <w:widowControl/>
              <w:spacing w:line="360" w:lineRule="auto"/>
              <w:jc w:val="center"/>
              <w:rPr>
                <w:rFonts w:hint="eastAsia" w:ascii="Times New Roman" w:hAnsi="Times New Roman" w:eastAsia="仿宋" w:cs="Times New Roman"/>
                <w:b/>
                <w:kern w:val="0"/>
                <w:sz w:val="24"/>
                <w:szCs w:val="24"/>
                <w:lang w:val="en-US" w:eastAsia="zh-CN" w:bidi="ar-SA"/>
              </w:rPr>
            </w:pPr>
            <w:r>
              <w:rPr>
                <w:rFonts w:hint="eastAsia" w:eastAsia="仿宋" w:cs="Times New Roman"/>
                <w:b/>
                <w:kern w:val="0"/>
                <w:sz w:val="24"/>
                <w:szCs w:val="24"/>
                <w:lang w:val="en-US" w:eastAsia="zh-CN"/>
              </w:rPr>
              <w:t>最高单价（元）</w:t>
            </w:r>
          </w:p>
        </w:tc>
        <w:tc>
          <w:tcPr>
            <w:tcW w:w="1283" w:type="dxa"/>
            <w:vAlign w:val="center"/>
          </w:tcPr>
          <w:p>
            <w:pPr>
              <w:widowControl/>
              <w:spacing w:line="360" w:lineRule="auto"/>
              <w:jc w:val="center"/>
              <w:rPr>
                <w:rFonts w:hint="default" w:eastAsia="仿宋" w:cs="Times New Roman"/>
                <w:b/>
                <w:kern w:val="0"/>
                <w:sz w:val="24"/>
                <w:szCs w:val="24"/>
                <w:lang w:val="en-US" w:eastAsia="zh-CN"/>
              </w:rPr>
            </w:pPr>
            <w:r>
              <w:rPr>
                <w:rFonts w:hint="eastAsia" w:eastAsia="仿宋" w:cs="Times New Roman"/>
                <w:b/>
                <w:kern w:val="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7"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1</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24"/>
                <w:szCs w:val="24"/>
                <w:lang w:val="en-US" w:eastAsia="zh-CN"/>
              </w:rPr>
              <w:t>迷你式公交一卡通</w:t>
            </w:r>
          </w:p>
        </w:tc>
        <w:tc>
          <w:tcPr>
            <w:tcW w:w="4378" w:type="dxa"/>
            <w:vMerge w:val="restart"/>
            <w:vAlign w:val="center"/>
          </w:tcPr>
          <w:p>
            <w:pPr>
              <w:ind w:left="0" w:leftChars="0" w:firstLine="0" w:firstLineChars="0"/>
              <w:jc w:val="left"/>
              <w:rPr>
                <w:rFonts w:hint="eastAsia"/>
                <w:sz w:val="22"/>
                <w:szCs w:val="22"/>
                <w:lang w:val="en-US" w:eastAsia="zh-CN"/>
              </w:rPr>
            </w:pPr>
            <w:r>
              <w:rPr>
                <w:rFonts w:hint="eastAsia"/>
                <w:sz w:val="22"/>
                <w:szCs w:val="22"/>
                <w:lang w:val="en-US" w:eastAsia="zh-CN"/>
              </w:rPr>
              <w:t>1.</w:t>
            </w:r>
            <w:r>
              <w:rPr>
                <w:rFonts w:hint="eastAsia"/>
                <w:sz w:val="22"/>
                <w:szCs w:val="22"/>
              </w:rPr>
              <w:t>用户界面</w:t>
            </w:r>
            <w:r>
              <w:rPr>
                <w:rFonts w:hint="eastAsia"/>
                <w:sz w:val="22"/>
                <w:szCs w:val="22"/>
                <w:lang w:val="en-US" w:eastAsia="zh-CN"/>
              </w:rPr>
              <w:t>:</w:t>
            </w:r>
            <w:r>
              <w:rPr>
                <w:rFonts w:hint="eastAsia"/>
                <w:sz w:val="22"/>
                <w:szCs w:val="22"/>
              </w:rPr>
              <w:t>非接触</w:t>
            </w:r>
          </w:p>
          <w:p>
            <w:pPr>
              <w:ind w:left="0" w:leftChars="0" w:firstLine="0" w:firstLineChars="0"/>
              <w:jc w:val="left"/>
              <w:rPr>
                <w:sz w:val="22"/>
                <w:szCs w:val="22"/>
              </w:rPr>
            </w:pPr>
            <w:r>
              <w:rPr>
                <w:rFonts w:hint="eastAsia"/>
                <w:sz w:val="22"/>
                <w:szCs w:val="22"/>
                <w:lang w:val="en-US" w:eastAsia="zh-CN"/>
              </w:rPr>
              <w:t>2.</w:t>
            </w:r>
            <w:r>
              <w:rPr>
                <w:rFonts w:hint="eastAsia"/>
                <w:sz w:val="22"/>
                <w:szCs w:val="22"/>
              </w:rPr>
              <w:t>微处理器</w:t>
            </w:r>
            <w:r>
              <w:rPr>
                <w:rFonts w:hint="eastAsia"/>
                <w:sz w:val="22"/>
                <w:szCs w:val="22"/>
                <w:lang w:eastAsia="zh-CN"/>
              </w:rPr>
              <w:t>：</w:t>
            </w:r>
            <w:r>
              <w:rPr>
                <w:sz w:val="22"/>
                <w:szCs w:val="22"/>
              </w:rPr>
              <w:t>8/16</w:t>
            </w:r>
            <w:r>
              <w:rPr>
                <w:rFonts w:hint="eastAsia"/>
                <w:sz w:val="22"/>
                <w:szCs w:val="22"/>
              </w:rPr>
              <w:t>位处理器</w:t>
            </w:r>
          </w:p>
          <w:p>
            <w:pPr>
              <w:ind w:left="0" w:leftChars="0" w:firstLine="0" w:firstLineChars="0"/>
              <w:jc w:val="left"/>
              <w:rPr>
                <w:sz w:val="22"/>
                <w:szCs w:val="22"/>
              </w:rPr>
            </w:pPr>
            <w:r>
              <w:rPr>
                <w:rFonts w:hint="eastAsia"/>
                <w:sz w:val="22"/>
                <w:szCs w:val="22"/>
                <w:lang w:val="en-US" w:eastAsia="zh-CN"/>
              </w:rPr>
              <w:t>3.</w:t>
            </w:r>
            <w:r>
              <w:rPr>
                <w:rFonts w:hint="eastAsia"/>
                <w:sz w:val="22"/>
                <w:szCs w:val="22"/>
              </w:rPr>
              <w:t>用户空间</w:t>
            </w:r>
            <w:r>
              <w:rPr>
                <w:rFonts w:hint="eastAsia"/>
                <w:sz w:val="22"/>
                <w:szCs w:val="22"/>
                <w:lang w:val="en-US" w:eastAsia="zh-CN"/>
              </w:rPr>
              <w:t>:</w:t>
            </w:r>
            <w:r>
              <w:rPr>
                <w:sz w:val="22"/>
                <w:szCs w:val="22"/>
              </w:rPr>
              <w:t>≥8</w:t>
            </w:r>
            <w:r>
              <w:rPr>
                <w:rFonts w:hint="eastAsia"/>
                <w:sz w:val="22"/>
                <w:szCs w:val="22"/>
                <w:lang w:val="en-US" w:eastAsia="zh-CN"/>
              </w:rPr>
              <w:t>0</w:t>
            </w:r>
            <w:r>
              <w:rPr>
                <w:sz w:val="22"/>
                <w:szCs w:val="22"/>
              </w:rPr>
              <w:t>K</w:t>
            </w:r>
            <w:r>
              <w:rPr>
                <w:rFonts w:hint="eastAsia"/>
                <w:sz w:val="22"/>
                <w:szCs w:val="22"/>
              </w:rPr>
              <w:t>字节</w:t>
            </w:r>
          </w:p>
          <w:p>
            <w:pPr>
              <w:ind w:left="0" w:leftChars="0" w:firstLine="0" w:firstLineChars="0"/>
              <w:jc w:val="left"/>
              <w:rPr>
                <w:sz w:val="22"/>
                <w:szCs w:val="22"/>
              </w:rPr>
            </w:pPr>
            <w:r>
              <w:rPr>
                <w:rFonts w:hint="eastAsia"/>
                <w:sz w:val="22"/>
                <w:szCs w:val="22"/>
                <w:lang w:val="en-US" w:eastAsia="zh-CN"/>
              </w:rPr>
              <w:t>4.</w:t>
            </w:r>
            <w:r>
              <w:rPr>
                <w:rFonts w:hint="eastAsia"/>
                <w:sz w:val="22"/>
                <w:szCs w:val="22"/>
              </w:rPr>
              <w:t>芯片安全等级</w:t>
            </w:r>
            <w:r>
              <w:rPr>
                <w:rFonts w:hint="eastAsia"/>
                <w:sz w:val="22"/>
                <w:szCs w:val="22"/>
                <w:lang w:val="en-US" w:eastAsia="zh-CN"/>
              </w:rPr>
              <w:t>:</w:t>
            </w:r>
            <w:r>
              <w:rPr>
                <w:rFonts w:hint="eastAsia"/>
                <w:sz w:val="22"/>
                <w:szCs w:val="22"/>
              </w:rPr>
              <w:t>通过</w:t>
            </w:r>
            <w:r>
              <w:rPr>
                <w:sz w:val="22"/>
                <w:szCs w:val="22"/>
              </w:rPr>
              <w:t>EAL</w:t>
            </w:r>
            <w:r>
              <w:rPr>
                <w:rFonts w:hint="eastAsia"/>
                <w:sz w:val="22"/>
                <w:szCs w:val="22"/>
                <w:lang w:val="en-US" w:eastAsia="zh-CN"/>
              </w:rPr>
              <w:t>4</w:t>
            </w:r>
            <w:r>
              <w:rPr>
                <w:sz w:val="22"/>
                <w:szCs w:val="22"/>
              </w:rPr>
              <w:t>+</w:t>
            </w:r>
            <w:r>
              <w:rPr>
                <w:rFonts w:hint="eastAsia"/>
                <w:sz w:val="22"/>
                <w:szCs w:val="22"/>
              </w:rPr>
              <w:t>或以上安全等级认证</w:t>
            </w:r>
          </w:p>
          <w:p>
            <w:pPr>
              <w:ind w:left="0" w:leftChars="0" w:firstLine="0" w:firstLineChars="0"/>
              <w:jc w:val="left"/>
              <w:rPr>
                <w:sz w:val="22"/>
                <w:szCs w:val="22"/>
              </w:rPr>
            </w:pPr>
            <w:r>
              <w:rPr>
                <w:rFonts w:hint="eastAsia"/>
                <w:sz w:val="22"/>
                <w:szCs w:val="22"/>
                <w:lang w:val="en-US" w:eastAsia="zh-CN"/>
              </w:rPr>
              <w:t>5.</w:t>
            </w:r>
            <w:r>
              <w:rPr>
                <w:rFonts w:hint="eastAsia"/>
                <w:sz w:val="22"/>
                <w:szCs w:val="22"/>
              </w:rPr>
              <w:t>芯片工艺</w:t>
            </w:r>
            <w:r>
              <w:rPr>
                <w:rFonts w:hint="eastAsia"/>
                <w:sz w:val="22"/>
                <w:szCs w:val="22"/>
                <w:lang w:val="en-US" w:eastAsia="zh-CN"/>
              </w:rPr>
              <w:t>:</w:t>
            </w:r>
            <w:r>
              <w:rPr>
                <w:sz w:val="22"/>
                <w:szCs w:val="22"/>
              </w:rPr>
              <w:t>0.35μm</w:t>
            </w:r>
            <w:r>
              <w:rPr>
                <w:rFonts w:hint="eastAsia"/>
                <w:sz w:val="22"/>
                <w:szCs w:val="22"/>
              </w:rPr>
              <w:t>以下</w:t>
            </w:r>
          </w:p>
          <w:p>
            <w:pPr>
              <w:ind w:left="0" w:leftChars="0" w:firstLine="0" w:firstLineChars="0"/>
              <w:jc w:val="left"/>
              <w:rPr>
                <w:sz w:val="22"/>
                <w:szCs w:val="22"/>
              </w:rPr>
            </w:pPr>
            <w:r>
              <w:rPr>
                <w:rFonts w:hint="eastAsia"/>
                <w:sz w:val="22"/>
                <w:szCs w:val="22"/>
                <w:lang w:val="en-US" w:eastAsia="zh-CN"/>
              </w:rPr>
              <w:t>6.</w:t>
            </w:r>
            <w:r>
              <w:rPr>
                <w:sz w:val="22"/>
                <w:szCs w:val="22"/>
              </w:rPr>
              <w:t>DES</w:t>
            </w:r>
            <w:r>
              <w:rPr>
                <w:rFonts w:hint="eastAsia"/>
                <w:sz w:val="22"/>
                <w:szCs w:val="22"/>
              </w:rPr>
              <w:t>协处理器</w:t>
            </w:r>
            <w:r>
              <w:rPr>
                <w:rFonts w:hint="eastAsia"/>
                <w:sz w:val="22"/>
                <w:szCs w:val="22"/>
                <w:lang w:val="en-US" w:eastAsia="zh-CN"/>
              </w:rPr>
              <w:t>:</w:t>
            </w:r>
            <w:r>
              <w:rPr>
                <w:rFonts w:hint="eastAsia"/>
                <w:sz w:val="22"/>
                <w:szCs w:val="22"/>
              </w:rPr>
              <w:t>硬件</w:t>
            </w:r>
            <w:r>
              <w:rPr>
                <w:sz w:val="22"/>
                <w:szCs w:val="22"/>
              </w:rPr>
              <w:t>Triple-DES</w:t>
            </w:r>
            <w:r>
              <w:rPr>
                <w:rFonts w:hint="eastAsia"/>
                <w:sz w:val="22"/>
                <w:szCs w:val="22"/>
              </w:rPr>
              <w:t>协处理器</w:t>
            </w:r>
          </w:p>
          <w:p>
            <w:pPr>
              <w:ind w:left="0" w:leftChars="0" w:firstLine="0" w:firstLineChars="0"/>
              <w:jc w:val="left"/>
              <w:rPr>
                <w:sz w:val="22"/>
                <w:szCs w:val="22"/>
              </w:rPr>
            </w:pPr>
            <w:r>
              <w:rPr>
                <w:rFonts w:hint="eastAsia"/>
                <w:sz w:val="22"/>
                <w:szCs w:val="22"/>
                <w:lang w:val="en-US" w:eastAsia="zh-CN"/>
              </w:rPr>
              <w:t>7.</w:t>
            </w:r>
            <w:r>
              <w:rPr>
                <w:rFonts w:hint="eastAsia"/>
                <w:sz w:val="22"/>
                <w:szCs w:val="22"/>
              </w:rPr>
              <w:t>随机数发生器</w:t>
            </w:r>
            <w:r>
              <w:rPr>
                <w:rFonts w:hint="eastAsia"/>
                <w:sz w:val="22"/>
                <w:szCs w:val="22"/>
                <w:lang w:val="en-US" w:eastAsia="zh-CN"/>
              </w:rPr>
              <w:t>:</w:t>
            </w:r>
            <w:r>
              <w:rPr>
                <w:rFonts w:hint="eastAsia"/>
                <w:sz w:val="22"/>
                <w:szCs w:val="22"/>
              </w:rPr>
              <w:t>硬件真随机数发生器</w:t>
            </w:r>
          </w:p>
          <w:p>
            <w:pPr>
              <w:ind w:left="0" w:leftChars="0" w:firstLine="0" w:firstLineChars="0"/>
              <w:jc w:val="left"/>
              <w:rPr>
                <w:sz w:val="22"/>
                <w:szCs w:val="22"/>
              </w:rPr>
            </w:pPr>
            <w:r>
              <w:rPr>
                <w:rFonts w:hint="eastAsia"/>
                <w:sz w:val="22"/>
                <w:szCs w:val="22"/>
                <w:lang w:val="en-US" w:eastAsia="zh-CN"/>
              </w:rPr>
              <w:t>8.</w:t>
            </w:r>
            <w:r>
              <w:rPr>
                <w:rFonts w:hint="eastAsia"/>
                <w:sz w:val="22"/>
                <w:szCs w:val="22"/>
              </w:rPr>
              <w:t>符合的国际标准</w:t>
            </w:r>
            <w:r>
              <w:rPr>
                <w:rFonts w:hint="eastAsia"/>
                <w:sz w:val="22"/>
                <w:szCs w:val="22"/>
                <w:lang w:val="en-US" w:eastAsia="zh-CN"/>
              </w:rPr>
              <w:t>:</w:t>
            </w:r>
            <w:r>
              <w:rPr>
                <w:sz w:val="22"/>
                <w:szCs w:val="22"/>
              </w:rPr>
              <w:t>ISO/IEC14443 Type A</w:t>
            </w:r>
          </w:p>
          <w:p>
            <w:pPr>
              <w:ind w:left="0" w:leftChars="0" w:firstLine="0" w:firstLineChars="0"/>
              <w:jc w:val="left"/>
              <w:rPr>
                <w:sz w:val="22"/>
                <w:szCs w:val="22"/>
              </w:rPr>
            </w:pPr>
            <w:r>
              <w:rPr>
                <w:rFonts w:hint="eastAsia"/>
                <w:sz w:val="22"/>
                <w:szCs w:val="22"/>
                <w:lang w:val="en-US" w:eastAsia="zh-CN"/>
              </w:rPr>
              <w:t>9.</w:t>
            </w:r>
            <w:r>
              <w:rPr>
                <w:rFonts w:hint="eastAsia"/>
                <w:sz w:val="22"/>
                <w:szCs w:val="22"/>
              </w:rPr>
              <w:t>通讯速率</w:t>
            </w:r>
            <w:r>
              <w:rPr>
                <w:rFonts w:hint="eastAsia"/>
                <w:sz w:val="22"/>
                <w:szCs w:val="22"/>
                <w:lang w:val="en-US" w:eastAsia="zh-CN"/>
              </w:rPr>
              <w:t>:</w:t>
            </w:r>
            <w:r>
              <w:rPr>
                <w:sz w:val="22"/>
                <w:szCs w:val="22"/>
              </w:rPr>
              <w:t>≥106K bps</w:t>
            </w:r>
          </w:p>
          <w:p>
            <w:pPr>
              <w:ind w:left="0" w:leftChars="0" w:firstLine="0" w:firstLineChars="0"/>
              <w:jc w:val="left"/>
              <w:rPr>
                <w:sz w:val="22"/>
                <w:szCs w:val="22"/>
              </w:rPr>
            </w:pPr>
            <w:r>
              <w:rPr>
                <w:rFonts w:hint="eastAsia"/>
                <w:sz w:val="22"/>
                <w:szCs w:val="22"/>
                <w:lang w:val="en-US" w:eastAsia="zh-CN"/>
              </w:rPr>
              <w:t>10.</w:t>
            </w:r>
            <w:r>
              <w:rPr>
                <w:sz w:val="22"/>
                <w:szCs w:val="22"/>
              </w:rPr>
              <w:t>EEPROM</w:t>
            </w:r>
            <w:r>
              <w:rPr>
                <w:rFonts w:hint="eastAsia"/>
                <w:sz w:val="22"/>
                <w:szCs w:val="22"/>
              </w:rPr>
              <w:t>擦写次数</w:t>
            </w:r>
            <w:r>
              <w:rPr>
                <w:rFonts w:hint="eastAsia"/>
                <w:sz w:val="22"/>
                <w:szCs w:val="22"/>
                <w:lang w:val="en-US" w:eastAsia="zh-CN"/>
              </w:rPr>
              <w:t>:</w:t>
            </w:r>
            <w:r>
              <w:rPr>
                <w:sz w:val="22"/>
                <w:szCs w:val="22"/>
              </w:rPr>
              <w:t>≥10</w:t>
            </w:r>
            <w:r>
              <w:rPr>
                <w:rFonts w:hint="eastAsia"/>
                <w:sz w:val="22"/>
                <w:szCs w:val="22"/>
              </w:rPr>
              <w:t>万次</w:t>
            </w:r>
          </w:p>
          <w:p>
            <w:pPr>
              <w:ind w:left="0" w:leftChars="0" w:firstLine="0" w:firstLineChars="0"/>
              <w:jc w:val="left"/>
              <w:rPr>
                <w:rFonts w:hint="eastAsia"/>
                <w:sz w:val="22"/>
                <w:szCs w:val="22"/>
              </w:rPr>
            </w:pPr>
            <w:r>
              <w:rPr>
                <w:rFonts w:hint="eastAsia"/>
                <w:sz w:val="22"/>
                <w:szCs w:val="22"/>
                <w:lang w:val="en-US" w:eastAsia="zh-CN"/>
              </w:rPr>
              <w:t>11.</w:t>
            </w:r>
            <w:r>
              <w:rPr>
                <w:rFonts w:hint="eastAsia"/>
                <w:sz w:val="22"/>
                <w:szCs w:val="22"/>
              </w:rPr>
              <w:t>数据保存时间</w:t>
            </w:r>
            <w:r>
              <w:rPr>
                <w:rFonts w:hint="eastAsia"/>
                <w:sz w:val="22"/>
                <w:szCs w:val="22"/>
                <w:lang w:val="en-US" w:eastAsia="zh-CN"/>
              </w:rPr>
              <w:t>:</w:t>
            </w:r>
            <w:r>
              <w:rPr>
                <w:rFonts w:hint="eastAsia"/>
                <w:sz w:val="22"/>
                <w:szCs w:val="22"/>
              </w:rPr>
              <w:t>≥10年</w:t>
            </w:r>
          </w:p>
          <w:p>
            <w:pPr>
              <w:ind w:left="0" w:leftChars="0" w:firstLine="0" w:firstLineChars="0"/>
              <w:jc w:val="left"/>
              <w:rPr>
                <w:rFonts w:hint="default" w:eastAsia="黑体"/>
                <w:lang w:val="en-US" w:eastAsia="zh-CN"/>
              </w:rPr>
            </w:pPr>
            <w:r>
              <w:rPr>
                <w:rFonts w:hint="eastAsia"/>
                <w:sz w:val="22"/>
                <w:szCs w:val="22"/>
                <w:lang w:val="en-US" w:eastAsia="zh-CN"/>
              </w:rPr>
              <w:t>12.迷你式公交一卡通制卡成本费单张卡不得超过24元，卡内乘车余额不低于36元；卡片式公交一卡通制卡成本费单张卡不得超过12元，卡内乘车余额不低于18元，卡片式公交一卡通的图案支持采购人定制，不再单独收费。</w:t>
            </w:r>
          </w:p>
        </w:tc>
        <w:tc>
          <w:tcPr>
            <w:tcW w:w="1063" w:type="dxa"/>
            <w:vAlign w:val="top"/>
          </w:tcPr>
          <w:p>
            <w:pPr>
              <w:widowControl/>
              <w:spacing w:line="360" w:lineRule="auto"/>
              <w:jc w:val="center"/>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24"/>
                <w:szCs w:val="24"/>
                <w:lang w:val="en-US" w:eastAsia="zh-CN"/>
              </w:rPr>
              <w:t>100</w:t>
            </w:r>
            <w:r>
              <w:rPr>
                <w:rFonts w:hint="eastAsia" w:ascii="Times New Roman" w:hAnsi="Times New Roman" w:eastAsia="仿宋" w:cs="Times New Roman"/>
                <w:b/>
                <w:kern w:val="0"/>
                <w:sz w:val="24"/>
                <w:szCs w:val="24"/>
              </w:rPr>
              <w:t>0</w:t>
            </w:r>
          </w:p>
        </w:tc>
        <w:tc>
          <w:tcPr>
            <w:tcW w:w="1309" w:type="dxa"/>
            <w:vAlign w:val="top"/>
          </w:tcPr>
          <w:p>
            <w:pPr>
              <w:widowControl/>
              <w:spacing w:line="360" w:lineRule="auto"/>
              <w:jc w:val="center"/>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24"/>
                <w:szCs w:val="24"/>
                <w:lang w:val="en-US" w:eastAsia="zh-CN"/>
              </w:rPr>
              <w:t>60</w:t>
            </w:r>
          </w:p>
        </w:tc>
        <w:tc>
          <w:tcPr>
            <w:tcW w:w="1283" w:type="dxa"/>
            <w:vMerge w:val="restart"/>
            <w:vAlign w:val="center"/>
          </w:tcPr>
          <w:p>
            <w:pPr>
              <w:jc w:val="center"/>
              <w:rPr>
                <w:rFonts w:hint="default" w:eastAsiaTheme="minorEastAsia"/>
                <w:sz w:val="32"/>
                <w:szCs w:val="32"/>
                <w:lang w:val="en-US" w:eastAsia="zh-CN"/>
              </w:rPr>
            </w:pPr>
            <w:r>
              <w:rPr>
                <w:rFonts w:hint="eastAsia" w:ascii="Times New Roman" w:hAnsi="Times New Roman" w:eastAsia="仿宋" w:cs="Times New Roman"/>
                <w:b/>
                <w:kern w:val="0"/>
                <w:sz w:val="24"/>
                <w:szCs w:val="24"/>
                <w:lang w:val="en-US" w:eastAsia="zh-CN"/>
              </w:rPr>
              <w:t>可支持手机NFC功能及线下网点充值、支持全国400余个城市公交、轻轨等公共交通工具使用</w:t>
            </w:r>
            <w:bookmarkStart w:id="31" w:name="_GoBack"/>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2</w:t>
            </w:r>
          </w:p>
        </w:tc>
        <w:tc>
          <w:tcPr>
            <w:tcW w:w="1894" w:type="dxa"/>
            <w:tcBorders>
              <w:top w:val="single" w:color="auto" w:sz="4" w:space="0"/>
              <w:left w:val="single" w:color="auto" w:sz="4" w:space="0"/>
              <w:bottom w:val="single" w:color="auto" w:sz="4" w:space="0"/>
              <w:right w:val="single" w:color="auto" w:sz="4" w:space="0"/>
            </w:tcBorders>
            <w:vAlign w:val="center"/>
          </w:tcPr>
          <w:p>
            <w:pPr>
              <w:pStyle w:val="8"/>
              <w:rPr>
                <w:rFonts w:hint="default" w:ascii="Times New Roman" w:hAnsi="Times New Roman" w:eastAsia="仿宋" w:cs="Times New Roman"/>
                <w:b/>
                <w:kern w:val="0"/>
                <w:sz w:val="24"/>
                <w:szCs w:val="24"/>
                <w:lang w:val="en-US" w:eastAsia="zh-CN" w:bidi="ar-SA"/>
              </w:rPr>
            </w:pPr>
            <w:r>
              <w:rPr>
                <w:rFonts w:hint="eastAsia" w:ascii="Times New Roman" w:hAnsi="Times New Roman" w:eastAsia="仿宋" w:cs="Times New Roman"/>
                <w:b/>
                <w:kern w:val="0"/>
                <w:sz w:val="24"/>
                <w:szCs w:val="24"/>
                <w:lang w:val="en-US" w:eastAsia="zh-CN" w:bidi="ar-SA"/>
              </w:rPr>
              <w:t>卡片式公交一卡通</w:t>
            </w:r>
          </w:p>
        </w:tc>
        <w:tc>
          <w:tcPr>
            <w:tcW w:w="4378" w:type="dxa"/>
            <w:vMerge w:val="continue"/>
            <w:tcBorders/>
            <w:vAlign w:val="center"/>
          </w:tcPr>
          <w:p>
            <w:pPr>
              <w:snapToGrid w:val="0"/>
              <w:spacing w:line="360" w:lineRule="auto"/>
              <w:contextualSpacing/>
              <w:jc w:val="left"/>
              <w:rPr>
                <w:rFonts w:hint="default" w:ascii="Times New Roman" w:hAnsi="Times New Roman" w:eastAsia="仿宋" w:cs="Times New Roman"/>
                <w:b/>
                <w:kern w:val="0"/>
                <w:sz w:val="24"/>
                <w:szCs w:val="24"/>
                <w:lang w:val="en-US" w:eastAsia="zh-CN" w:bidi="ar-SA"/>
              </w:rPr>
            </w:pPr>
          </w:p>
        </w:tc>
        <w:tc>
          <w:tcPr>
            <w:tcW w:w="1063" w:type="dxa"/>
            <w:vAlign w:val="top"/>
          </w:tcPr>
          <w:p>
            <w:pPr>
              <w:jc w:val="center"/>
              <w:rPr>
                <w:rFonts w:hint="default" w:ascii="Times New Roman" w:hAnsi="Times New Roman" w:eastAsia="仿宋" w:cs="Times New Roman"/>
                <w:b/>
                <w:kern w:val="0"/>
                <w:sz w:val="24"/>
                <w:szCs w:val="24"/>
                <w:lang w:val="en-US" w:eastAsia="zh-CN" w:bidi="ar-SA"/>
              </w:rPr>
            </w:pPr>
            <w:r>
              <w:rPr>
                <w:rFonts w:hint="eastAsia" w:ascii="Times New Roman" w:hAnsi="Times New Roman" w:eastAsia="仿宋" w:cs="Times New Roman"/>
                <w:b/>
                <w:kern w:val="0"/>
                <w:sz w:val="24"/>
                <w:szCs w:val="24"/>
                <w:lang w:val="en-US" w:eastAsia="zh-CN" w:bidi="ar-SA"/>
              </w:rPr>
              <w:t>1000</w:t>
            </w:r>
          </w:p>
        </w:tc>
        <w:tc>
          <w:tcPr>
            <w:tcW w:w="1309" w:type="dxa"/>
            <w:vAlign w:val="top"/>
          </w:tcPr>
          <w:p>
            <w:pPr>
              <w:jc w:val="center"/>
              <w:rPr>
                <w:rFonts w:hint="default" w:ascii="Times New Roman" w:hAnsi="Times New Roman" w:eastAsia="仿宋" w:cs="Times New Roman"/>
                <w:b/>
                <w:kern w:val="0"/>
                <w:sz w:val="24"/>
                <w:szCs w:val="24"/>
                <w:lang w:val="en-US" w:eastAsia="zh-CN" w:bidi="ar-SA"/>
              </w:rPr>
            </w:pPr>
            <w:r>
              <w:rPr>
                <w:rFonts w:hint="eastAsia" w:ascii="Times New Roman" w:hAnsi="Times New Roman" w:eastAsia="仿宋" w:cs="Times New Roman"/>
                <w:b/>
                <w:kern w:val="0"/>
                <w:sz w:val="24"/>
                <w:szCs w:val="24"/>
                <w:lang w:val="en-US" w:eastAsia="zh-CN" w:bidi="ar-SA"/>
              </w:rPr>
              <w:t>30</w:t>
            </w:r>
          </w:p>
        </w:tc>
        <w:tc>
          <w:tcPr>
            <w:tcW w:w="1283" w:type="dxa"/>
            <w:vMerge w:val="continue"/>
            <w:tcBorders/>
            <w:vAlign w:val="top"/>
          </w:tcPr>
          <w:p>
            <w:pPr>
              <w:jc w:val="center"/>
              <w:rPr>
                <w:rFonts w:hint="default" w:eastAsiaTheme="minorEastAsia"/>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488" w:type="dxa"/>
            <w:gridSpan w:val="6"/>
            <w:tcBorders>
              <w:top w:val="single" w:color="auto" w:sz="4" w:space="0"/>
              <w:left w:val="single" w:color="auto" w:sz="4" w:space="0"/>
              <w:bottom w:val="single" w:color="auto" w:sz="4" w:space="0"/>
            </w:tcBorders>
            <w:vAlign w:val="center"/>
          </w:tcPr>
          <w:p>
            <w:pPr>
              <w:widowControl/>
              <w:spacing w:line="360" w:lineRule="auto"/>
              <w:jc w:val="left"/>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（二）商务要求：（须完全响应）</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（一）时间地点</w:t>
            </w:r>
            <w:r>
              <w:rPr>
                <w:rFonts w:hint="eastAsia" w:ascii="方正仿宋_GBK" w:hAnsi="方正仿宋_GBK" w:eastAsia="方正仿宋_GBK" w:cs="方正仿宋_GBK"/>
                <w:sz w:val="24"/>
                <w:szCs w:val="24"/>
                <w:lang w:val="en-US" w:eastAsia="zh-CN"/>
              </w:rPr>
              <w:t>及报价</w:t>
            </w:r>
            <w:r>
              <w:rPr>
                <w:rFonts w:hint="eastAsia" w:ascii="方正仿宋_GBK" w:hAnsi="方正仿宋_GBK" w:eastAsia="方正仿宋_GBK" w:cs="方正仿宋_GBK"/>
                <w:sz w:val="24"/>
                <w:szCs w:val="24"/>
              </w:rPr>
              <w:t>要求</w:t>
            </w:r>
          </w:p>
          <w:p>
            <w:pPr>
              <w:spacing w:line="500" w:lineRule="exact"/>
              <w:ind w:firstLine="480" w:firstLineChars="200"/>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lang w:val="en-US" w:eastAsia="zh-CN"/>
              </w:rPr>
              <w:t>以实际送货量据实结算。</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交付期限：</w:t>
            </w:r>
            <w:r>
              <w:rPr>
                <w:rFonts w:hint="eastAsia" w:ascii="方正仿宋_GBK" w:hAnsi="方正仿宋_GBK" w:eastAsia="方正仿宋_GBK" w:cs="方正仿宋_GBK"/>
                <w:sz w:val="24"/>
                <w:szCs w:val="24"/>
                <w:lang w:val="en-US" w:eastAsia="zh-CN"/>
              </w:rPr>
              <w:t>采购人通知后15个工作日</w:t>
            </w:r>
            <w:r>
              <w:rPr>
                <w:rFonts w:hint="eastAsia" w:ascii="方正仿宋_GBK" w:hAnsi="方正仿宋_GBK" w:eastAsia="方正仿宋_GBK" w:cs="方正仿宋_GBK"/>
                <w:sz w:val="24"/>
                <w:szCs w:val="24"/>
              </w:rPr>
              <w:t>完成</w:t>
            </w:r>
            <w:r>
              <w:rPr>
                <w:rFonts w:hint="eastAsia" w:ascii="方正仿宋_GBK" w:hAnsi="方正仿宋_GBK" w:eastAsia="方正仿宋_GBK" w:cs="方正仿宋_GBK"/>
                <w:sz w:val="24"/>
                <w:szCs w:val="24"/>
                <w:lang w:val="en-US" w:eastAsia="zh-CN"/>
              </w:rPr>
              <w:t>送货</w:t>
            </w:r>
            <w:r>
              <w:rPr>
                <w:rFonts w:hint="eastAsia" w:ascii="方正仿宋_GBK" w:hAnsi="方正仿宋_GBK" w:eastAsia="方正仿宋_GBK" w:cs="方正仿宋_GBK"/>
                <w:sz w:val="24"/>
                <w:szCs w:val="24"/>
              </w:rPr>
              <w:t>。</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.交货地点：重庆市璧山区人民医院</w:t>
            </w:r>
            <w:r>
              <w:rPr>
                <w:rFonts w:hint="eastAsia" w:ascii="方正仿宋_GBK" w:hAnsi="方正仿宋_GBK" w:eastAsia="方正仿宋_GBK" w:cs="方正仿宋_GBK"/>
                <w:sz w:val="24"/>
                <w:szCs w:val="24"/>
                <w:lang w:val="en-US" w:eastAsia="zh-CN"/>
              </w:rPr>
              <w:t>指</w:t>
            </w:r>
            <w:r>
              <w:rPr>
                <w:rFonts w:hint="eastAsia" w:ascii="方正仿宋_GBK" w:hAnsi="方正仿宋_GBK" w:eastAsia="方正仿宋_GBK" w:cs="方正仿宋_GBK"/>
                <w:sz w:val="24"/>
                <w:szCs w:val="24"/>
              </w:rPr>
              <w:t xml:space="preserve">定地点。 </w:t>
            </w:r>
          </w:p>
          <w:p>
            <w:pPr>
              <w:spacing w:line="500" w:lineRule="exact"/>
              <w:ind w:firstLine="480" w:firstLineChars="200"/>
              <w:rPr>
                <w:rFonts w:hint="eastAsia" w:ascii="方正仿宋_GBK" w:hAnsi="方正仿宋_GBK" w:eastAsia="方正仿宋_GBK" w:cs="方正仿宋_GBK"/>
                <w:b w:val="0"/>
                <w:kern w:val="2"/>
                <w:sz w:val="24"/>
                <w:szCs w:val="24"/>
                <w:lang w:val="en-US" w:eastAsia="zh-CN" w:bidi="ar-SA"/>
              </w:rPr>
            </w:pPr>
            <w:r>
              <w:rPr>
                <w:rFonts w:hint="eastAsia" w:ascii="方正仿宋_GBK" w:hAnsi="方正仿宋_GBK" w:eastAsia="方正仿宋_GBK" w:cs="方正仿宋_GBK"/>
                <w:b w:val="0"/>
                <w:kern w:val="2"/>
                <w:sz w:val="24"/>
                <w:szCs w:val="24"/>
                <w:lang w:val="en-US" w:eastAsia="zh-CN" w:bidi="ar-SA"/>
              </w:rPr>
              <w:t>4.报价要求：本次报价为人民币包干价，包含：货款、运输装卸费、税费、保险费、退换货运费、质保期维护费用、验收检测费等完成本项目所需的一切费用。因成交供应商自身原因造成漏报、少报皆由其自行承担责任，采购人不再补偿。服务期间发生的安全事故责任由供应商自行承担。</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（二）付款方式</w:t>
            </w:r>
          </w:p>
          <w:p>
            <w:pPr>
              <w:spacing w:line="500" w:lineRule="exact"/>
              <w:ind w:firstLine="480" w:firstLineChars="200"/>
              <w:rPr>
                <w:rFonts w:hint="eastAsia" w:ascii="方正仿宋_GBK" w:hAnsi="方正仿宋_GBK" w:eastAsia="方正仿宋_GBK" w:cs="方正仿宋_GBK"/>
                <w:sz w:val="24"/>
                <w:szCs w:val="24"/>
              </w:rPr>
            </w:pPr>
            <w:bookmarkStart w:id="0" w:name="_Toc267320052"/>
            <w:r>
              <w:rPr>
                <w:rFonts w:hint="eastAsia" w:ascii="方正仿宋_GBK" w:hAnsi="方正仿宋_GBK" w:eastAsia="方正仿宋_GBK" w:cs="方正仿宋_GBK"/>
                <w:sz w:val="24"/>
                <w:szCs w:val="24"/>
                <w:lang w:val="en-US" w:eastAsia="zh-CN"/>
              </w:rPr>
              <w:t>每年结算一次</w:t>
            </w:r>
            <w:r>
              <w:rPr>
                <w:rFonts w:hint="eastAsia" w:ascii="方正仿宋_GBK" w:hAnsi="方正仿宋_GBK" w:eastAsia="方正仿宋_GBK" w:cs="方正仿宋_GBK"/>
                <w:sz w:val="24"/>
                <w:szCs w:val="24"/>
              </w:rPr>
              <w:t>，供应商需提供发票、</w:t>
            </w:r>
            <w:r>
              <w:rPr>
                <w:rFonts w:hint="eastAsia" w:ascii="方正仿宋_GBK" w:hAnsi="方正仿宋_GBK" w:eastAsia="方正仿宋_GBK" w:cs="方正仿宋_GBK"/>
                <w:sz w:val="24"/>
                <w:szCs w:val="24"/>
                <w:lang w:val="en-US" w:eastAsia="zh-CN"/>
              </w:rPr>
              <w:t>送货</w:t>
            </w:r>
            <w:r>
              <w:rPr>
                <w:rFonts w:hint="eastAsia" w:ascii="方正仿宋_GBK" w:hAnsi="方正仿宋_GBK" w:eastAsia="方正仿宋_GBK" w:cs="方正仿宋_GBK"/>
                <w:sz w:val="24"/>
                <w:szCs w:val="24"/>
              </w:rPr>
              <w:t>验收记录，未及时提供的</w:t>
            </w:r>
            <w:r>
              <w:rPr>
                <w:rFonts w:hint="eastAsia" w:ascii="方正仿宋_GBK" w:hAnsi="方正仿宋_GBK" w:eastAsia="方正仿宋_GBK" w:cs="方正仿宋_GBK"/>
                <w:sz w:val="24"/>
                <w:szCs w:val="24"/>
                <w:lang w:val="en-US" w:eastAsia="zh-CN"/>
              </w:rPr>
              <w:t>采购人</w:t>
            </w:r>
            <w:r>
              <w:rPr>
                <w:rFonts w:hint="eastAsia" w:ascii="方正仿宋_GBK" w:hAnsi="方正仿宋_GBK" w:eastAsia="方正仿宋_GBK" w:cs="方正仿宋_GBK"/>
                <w:sz w:val="24"/>
                <w:szCs w:val="24"/>
              </w:rPr>
              <w:t>有权拒付。</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（三）合同签订</w:t>
            </w:r>
          </w:p>
          <w:p>
            <w:pPr>
              <w:spacing w:line="500" w:lineRule="exact"/>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成交供应商在接到成交通知后20日内与采购人签订合同</w:t>
            </w:r>
            <w:bookmarkEnd w:id="0"/>
            <w:r>
              <w:rPr>
                <w:rFonts w:hint="eastAsia" w:ascii="方正仿宋_GBK" w:hAnsi="方正仿宋_GBK" w:eastAsia="方正仿宋_GBK" w:cs="方正仿宋_GBK"/>
                <w:sz w:val="24"/>
                <w:szCs w:val="24"/>
                <w:lang w:eastAsia="zh-CN"/>
              </w:rPr>
              <w:t>。</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（四）安装调试、培训及验收</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1.成交供应商将</w:t>
            </w:r>
            <w:r>
              <w:rPr>
                <w:rFonts w:hint="eastAsia" w:ascii="方正仿宋_GBK" w:hAnsi="方正仿宋_GBK" w:eastAsia="方正仿宋_GBK" w:cs="方正仿宋_GBK"/>
                <w:sz w:val="24"/>
                <w:szCs w:val="24"/>
                <w:lang w:val="en-US" w:eastAsia="zh-CN"/>
              </w:rPr>
              <w:t>货物</w:t>
            </w:r>
            <w:r>
              <w:rPr>
                <w:rFonts w:hint="eastAsia" w:ascii="方正仿宋_GBK" w:hAnsi="方正仿宋_GBK" w:eastAsia="方正仿宋_GBK" w:cs="方正仿宋_GBK"/>
                <w:sz w:val="24"/>
                <w:szCs w:val="24"/>
              </w:rPr>
              <w:t>免费送到采购人指定地点，经采购人当场开箱、共同清点、检查外观</w:t>
            </w:r>
            <w:r>
              <w:rPr>
                <w:rFonts w:hint="eastAsia" w:ascii="方正仿宋_GBK" w:hAnsi="方正仿宋_GBK" w:eastAsia="方正仿宋_GBK" w:cs="方正仿宋_GBK"/>
                <w:sz w:val="24"/>
                <w:szCs w:val="24"/>
                <w:lang w:val="en-US" w:eastAsia="zh-CN"/>
              </w:rPr>
              <w:t>等</w:t>
            </w:r>
            <w:r>
              <w:rPr>
                <w:rFonts w:hint="eastAsia" w:ascii="方正仿宋_GBK" w:hAnsi="方正仿宋_GBK" w:eastAsia="方正仿宋_GBK" w:cs="方正仿宋_GBK"/>
                <w:sz w:val="24"/>
                <w:szCs w:val="24"/>
              </w:rPr>
              <w:t>进行开箱</w:t>
            </w:r>
            <w:r>
              <w:rPr>
                <w:rFonts w:hint="eastAsia" w:ascii="方正仿宋_GBK" w:hAnsi="方正仿宋_GBK" w:eastAsia="方正仿宋_GBK" w:cs="方正仿宋_GBK"/>
                <w:sz w:val="24"/>
                <w:szCs w:val="24"/>
                <w:lang w:val="en-US" w:eastAsia="zh-CN"/>
              </w:rPr>
              <w:t>验收，</w:t>
            </w:r>
            <w:r>
              <w:rPr>
                <w:rFonts w:hint="eastAsia" w:ascii="方正仿宋_GBK" w:hAnsi="方正仿宋_GBK" w:eastAsia="方正仿宋_GBK" w:cs="方正仿宋_GBK"/>
                <w:sz w:val="24"/>
                <w:szCs w:val="24"/>
              </w:rPr>
              <w:t>双方签字确认。</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2.供应商应保证货物到达采购人所在地时完好无损，生产日期应为1年以内的全新产品。如有缺漏、损坏，由供应商负责调换、补齐或赔偿。</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3.成交供应商派遣专业技术人员在采购人指定地点对采购人使用人员进行设备使用与操作进行免费专业培训，使其能正常操作。</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4.1采购合同须与投标文件中的技术要求对照表相一致；若不满足相应要求，取消其中标资格。</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4.2</w:t>
            </w:r>
            <w:r>
              <w:rPr>
                <w:rFonts w:hint="eastAsia" w:ascii="方正仿宋_GBK" w:hAnsi="方正仿宋_GBK" w:eastAsia="方正仿宋_GBK" w:cs="方正仿宋_GBK"/>
                <w:sz w:val="24"/>
                <w:szCs w:val="24"/>
                <w:lang w:val="en-US" w:eastAsia="zh-CN"/>
              </w:rPr>
              <w:t>产品</w:t>
            </w:r>
            <w:r>
              <w:rPr>
                <w:rFonts w:hint="eastAsia" w:ascii="方正仿宋_GBK" w:hAnsi="方正仿宋_GBK" w:eastAsia="方正仿宋_GBK" w:cs="方正仿宋_GBK"/>
                <w:sz w:val="24"/>
                <w:szCs w:val="24"/>
              </w:rPr>
              <w:t>品种、规格、数量、技术参数以及商品品牌、生产厂家等与投标文件和采购合同一致，性能指标达到规定的标准。</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4.3货物技术资料、装箱单、合格证等资料齐全。</w:t>
            </w:r>
          </w:p>
          <w:p>
            <w:pPr>
              <w:spacing w:line="500" w:lineRule="exact"/>
              <w:ind w:firstLine="480" w:firstLineChars="200"/>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4.4</w:t>
            </w:r>
            <w:r>
              <w:rPr>
                <w:rFonts w:hint="eastAsia" w:ascii="方正仿宋_GBK" w:hAnsi="方正仿宋_GBK" w:eastAsia="方正仿宋_GBK" w:cs="方正仿宋_GBK"/>
                <w:sz w:val="24"/>
                <w:szCs w:val="24"/>
                <w:lang w:val="en-US" w:eastAsia="zh-CN"/>
              </w:rPr>
              <w:t>验收后发现疑似产品质量问题，供应商应承担鉴定费用。</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4.5在规定时间内完成交货，并经采购人确认。</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5.采购人需要制造商对成交供应商交付的产品（包括质量、技术参数等）进行确认的，成交供应商须提供制造商加盖公章的书面意见。</w:t>
            </w:r>
          </w:p>
          <w:p>
            <w:pPr>
              <w:pStyle w:val="4"/>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6. 验收时产生争议，采购人可邀请国家认可的质量检测机构参加验收工作，产生的验收费用由供应商承担。</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2"/>
                <w:sz w:val="24"/>
                <w:szCs w:val="24"/>
                <w:lang w:val="en-US" w:eastAsia="zh-CN" w:bidi="ar-SA"/>
              </w:rPr>
              <w:t>（六）质量保</w:t>
            </w:r>
            <w:r>
              <w:rPr>
                <w:rFonts w:hint="eastAsia" w:ascii="方正仿宋_GBK" w:hAnsi="方正仿宋_GBK" w:eastAsia="方正仿宋_GBK" w:cs="方正仿宋_GBK"/>
                <w:sz w:val="24"/>
                <w:szCs w:val="24"/>
              </w:rPr>
              <w:t>证及售后服务</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1.质量保证</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1.1自验收合格之日起，</w:t>
            </w:r>
            <w:r>
              <w:rPr>
                <w:rFonts w:hint="eastAsia" w:ascii="方正仿宋_GBK" w:hAnsi="方正仿宋_GBK" w:eastAsia="方正仿宋_GBK" w:cs="方正仿宋_GBK"/>
                <w:b/>
                <w:bCs/>
                <w:sz w:val="24"/>
                <w:szCs w:val="24"/>
                <w:u w:val="single"/>
              </w:rPr>
              <w:t>提供所投产品不低于</w:t>
            </w:r>
            <w:r>
              <w:rPr>
                <w:rFonts w:hint="eastAsia" w:ascii="方正仿宋_GBK" w:hAnsi="方正仿宋_GBK" w:eastAsia="方正仿宋_GBK" w:cs="方正仿宋_GBK"/>
                <w:b/>
                <w:bCs/>
                <w:sz w:val="24"/>
                <w:szCs w:val="24"/>
                <w:u w:val="single"/>
                <w:lang w:val="en-US" w:eastAsia="zh-CN"/>
              </w:rPr>
              <w:t>1</w:t>
            </w:r>
            <w:r>
              <w:rPr>
                <w:rFonts w:hint="eastAsia" w:ascii="方正仿宋_GBK" w:hAnsi="方正仿宋_GBK" w:eastAsia="方正仿宋_GBK" w:cs="方正仿宋_GBK"/>
                <w:b/>
                <w:bCs/>
                <w:sz w:val="24"/>
                <w:szCs w:val="24"/>
                <w:u w:val="single"/>
              </w:rPr>
              <w:t>年的免费质保</w:t>
            </w:r>
            <w:r>
              <w:rPr>
                <w:rFonts w:hint="eastAsia" w:ascii="方正仿宋_GBK" w:hAnsi="方正仿宋_GBK" w:eastAsia="方正仿宋_GBK" w:cs="方正仿宋_GBK"/>
                <w:b/>
                <w:bCs/>
                <w:sz w:val="24"/>
                <w:szCs w:val="24"/>
                <w:u w:val="single"/>
                <w:lang w:eastAsia="zh-CN"/>
              </w:rPr>
              <w:t>，</w:t>
            </w:r>
            <w:r>
              <w:rPr>
                <w:rFonts w:hint="eastAsia" w:ascii="方正仿宋_GBK" w:hAnsi="方正仿宋_GBK" w:eastAsia="方正仿宋_GBK" w:cs="方正仿宋_GBK"/>
                <w:b/>
                <w:bCs/>
                <w:sz w:val="24"/>
                <w:szCs w:val="24"/>
                <w:u w:val="single"/>
                <w:lang w:val="en-US" w:eastAsia="zh-CN"/>
              </w:rPr>
              <w:t>非人为损坏免费更换</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产品质保期内有任何质量问题，采购人有权要求供应商整改和退还，如产品变色、脱漆、破损等。</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1.2采购货物属于国家规定“三包”范围的，其产品质量保证期不得低于“三包”规定。</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1.3供应商的质量保证期承诺优于国家“三包”规定的，按供应商实际承诺执行。</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1.4采购货物由产品制造商负责标准售后服务，应当在响应文件中予以明确说明，并提供相关文件。</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2.售后服务</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2.1质保期内服务要求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2.1.1电话咨询</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成交供应商或制造商应当为采购人提供技术援助电话，在30分钟内响应解答采购人在使用中遇到的问题，及时为采购人提出解决问题的建议。</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2.1.2现场响应</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采购人遇到使用及技术问题，电话咨询不能解决的，成交供应商或制造商应在</w:t>
            </w:r>
            <w:r>
              <w:rPr>
                <w:rFonts w:hint="eastAsia" w:ascii="方正仿宋_GBK" w:hAnsi="方正仿宋_GBK" w:eastAsia="方正仿宋_GBK" w:cs="方正仿宋_GBK"/>
                <w:sz w:val="24"/>
                <w:szCs w:val="24"/>
                <w:lang w:val="en-US" w:eastAsia="zh-CN"/>
              </w:rPr>
              <w:t>4小时</w:t>
            </w:r>
            <w:r>
              <w:rPr>
                <w:rFonts w:hint="eastAsia" w:ascii="方正仿宋_GBK" w:hAnsi="方正仿宋_GBK" w:eastAsia="方正仿宋_GBK" w:cs="方正仿宋_GBK"/>
                <w:sz w:val="24"/>
                <w:szCs w:val="24"/>
              </w:rPr>
              <w:t>内派专业技术人员到达现场进行</w:t>
            </w:r>
            <w:r>
              <w:rPr>
                <w:rFonts w:hint="eastAsia" w:ascii="方正仿宋_GBK" w:hAnsi="方正仿宋_GBK" w:eastAsia="方正仿宋_GBK" w:cs="方正仿宋_GBK"/>
                <w:sz w:val="24"/>
                <w:szCs w:val="24"/>
                <w:lang w:val="en-US" w:eastAsia="zh-CN"/>
              </w:rPr>
              <w:t>处理</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5小时不能解决问题的应提供备用产品。</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2.1.3技术升级</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在质保期内，如果成交供应商或制造商的产品免费技术升级，成交供应商应及时通知采购人，如采购人有相应要求，成交供应商或制造商应对采购人进行免费升级服务。</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2.2质保期满服务要求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质保期满后成交供应商或制造商应同样提供免费电话咨询服务；承诺提供产品上门维修服务时只收取维修配件费，不收其他费用。常用的、容易损坏的维修配件的价格清单须在响应文件中列出。</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（七）履约保证金</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无</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（八）</w:t>
            </w:r>
            <w:bookmarkStart w:id="1" w:name="_Toc3955"/>
            <w:r>
              <w:rPr>
                <w:rFonts w:hint="eastAsia" w:ascii="方正仿宋_GBK" w:hAnsi="方正仿宋_GBK" w:eastAsia="方正仿宋_GBK" w:cs="方正仿宋_GBK"/>
                <w:sz w:val="24"/>
                <w:szCs w:val="24"/>
                <w:lang w:val="en-US" w:eastAsia="zh-CN"/>
              </w:rPr>
              <w:t>踏勘</w:t>
            </w:r>
            <w:bookmarkEnd w:id="1"/>
            <w:r>
              <w:rPr>
                <w:rFonts w:hint="eastAsia" w:ascii="方正仿宋_GBK" w:hAnsi="方正仿宋_GBK" w:eastAsia="方正仿宋_GBK" w:cs="方正仿宋_GBK"/>
                <w:sz w:val="24"/>
                <w:szCs w:val="24"/>
                <w:lang w:val="en-US" w:eastAsia="zh-CN"/>
              </w:rPr>
              <w:t>现场</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供应商自行组织踏勘现场，现场踏勘应充分了解项目位置、</w:t>
            </w:r>
            <w:r>
              <w:rPr>
                <w:rFonts w:hint="eastAsia" w:ascii="方正仿宋_GBK" w:hAnsi="方正仿宋_GBK" w:eastAsia="方正仿宋_GBK" w:cs="方正仿宋_GBK"/>
                <w:sz w:val="24"/>
                <w:szCs w:val="24"/>
                <w:lang w:val="en-US" w:eastAsia="zh-CN"/>
              </w:rPr>
              <w:t>运行</w:t>
            </w:r>
            <w:r>
              <w:rPr>
                <w:rFonts w:hint="eastAsia" w:ascii="方正仿宋_GBK" w:hAnsi="方正仿宋_GBK" w:eastAsia="方正仿宋_GBK" w:cs="方正仿宋_GBK"/>
                <w:sz w:val="24"/>
                <w:szCs w:val="24"/>
              </w:rPr>
              <w:t>情况、</w:t>
            </w:r>
            <w:r>
              <w:rPr>
                <w:rFonts w:hint="eastAsia" w:ascii="方正仿宋_GBK" w:hAnsi="方正仿宋_GBK" w:eastAsia="方正仿宋_GBK" w:cs="方正仿宋_GBK"/>
                <w:sz w:val="24"/>
                <w:szCs w:val="24"/>
                <w:lang w:val="en-US" w:eastAsia="zh-CN"/>
              </w:rPr>
              <w:t>周边环境、</w:t>
            </w:r>
            <w:r>
              <w:rPr>
                <w:rFonts w:hint="eastAsia" w:ascii="方正仿宋_GBK" w:hAnsi="方正仿宋_GBK" w:eastAsia="方正仿宋_GBK" w:cs="方正仿宋_GBK"/>
                <w:sz w:val="24"/>
                <w:szCs w:val="24"/>
              </w:rPr>
              <w:t>装卸限制及任何</w:t>
            </w:r>
            <w:r>
              <w:rPr>
                <w:rFonts w:hint="eastAsia" w:ascii="方正仿宋_GBK" w:hAnsi="方正仿宋_GBK" w:eastAsia="方正仿宋_GBK" w:cs="方正仿宋_GBK"/>
                <w:sz w:val="24"/>
                <w:szCs w:val="24"/>
                <w:lang w:eastAsia="zh-CN"/>
              </w:rPr>
              <w:t>其他</w:t>
            </w:r>
            <w:r>
              <w:rPr>
                <w:rFonts w:hint="eastAsia" w:ascii="方正仿宋_GBK" w:hAnsi="方正仿宋_GBK" w:eastAsia="方正仿宋_GBK" w:cs="方正仿宋_GBK"/>
                <w:sz w:val="24"/>
                <w:szCs w:val="24"/>
              </w:rPr>
              <w:t>足以影响磋商报价的情况，任何因忽视或误解项目情况而导致的服务不达标或服务期延长的，供应商自行承担相关责任</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踏勘现场时发生的安全责任事故由供应商自行承担责任，项目实施时不得影响周边居民的正常生活</w:t>
            </w:r>
            <w:r>
              <w:rPr>
                <w:rFonts w:hint="eastAsia" w:ascii="方正仿宋_GBK" w:hAnsi="方正仿宋_GBK" w:eastAsia="方正仿宋_GBK" w:cs="方正仿宋_GBK"/>
                <w:sz w:val="24"/>
                <w:szCs w:val="24"/>
              </w:rPr>
              <w:t>。</w:t>
            </w:r>
          </w:p>
          <w:p>
            <w:pPr>
              <w:numPr>
                <w:ilvl w:val="0"/>
                <w:numId w:val="0"/>
              </w:num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九）违约责任：中标供应商未在约定期限完成交付验收，延迟交付每日支付千分之三的违约金，超过30日未能交付，采购人有权解除合同；验收不合格或使用中发现产品质量缺陷，采购人有权要求供应商整改，整改期限为10日，整改期限届满仍未完成的供应商每日支付千分之三的违约金，超过20日未能完成整改，采购人有权解除合同；因不能按期交付或整改期限届满导致采购人解除合同，以及供应商明确表示终止合同，供应商需承担合同总金额30%的违约金，并承担对采购人造成的损失；所投产品须为全新正规合格产品，后期发现或鉴定为假冒伪劣产品或残次品，供应商应承担所有费用并按照产品销售金额2倍进行赔偿，因产品质量问题导致的损害由供应商承担全部责任。</w:t>
            </w:r>
          </w:p>
          <w:p>
            <w:pPr>
              <w:numPr>
                <w:ilvl w:val="0"/>
                <w:numId w:val="0"/>
              </w:num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（十）中选标准：本项目在满足采购人技术和商务要求的情况下采用</w:t>
            </w:r>
            <w:r>
              <w:rPr>
                <w:rFonts w:hint="eastAsia" w:ascii="方正仿宋_GBK" w:hAnsi="方正仿宋_GBK" w:eastAsia="方正仿宋_GBK" w:cs="方正仿宋_GBK"/>
                <w:b/>
                <w:bCs/>
                <w:sz w:val="24"/>
                <w:szCs w:val="24"/>
                <w:lang w:val="en-US" w:eastAsia="zh-CN"/>
              </w:rPr>
              <w:t>最低评标价法中选</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b/>
                <w:bCs/>
                <w:sz w:val="24"/>
                <w:szCs w:val="24"/>
                <w:lang w:val="en-US" w:eastAsia="zh-CN"/>
              </w:rPr>
              <w:t>如超出投标报价、未在规定的时间内上交资料（采购人以收到的时间为准）及资料不齐全的为无效报价。</w:t>
            </w:r>
          </w:p>
          <w:p>
            <w:pPr>
              <w:numPr>
                <w:ilvl w:val="0"/>
                <w:numId w:val="0"/>
              </w:numPr>
              <w:spacing w:line="500" w:lineRule="exact"/>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十一</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其他要求：1.</w:t>
            </w:r>
            <w:r>
              <w:rPr>
                <w:rFonts w:hint="eastAsia" w:ascii="方正仿宋_GBK" w:hAnsi="方正仿宋_GBK" w:eastAsia="方正仿宋_GBK" w:cs="方正仿宋_GBK"/>
                <w:sz w:val="24"/>
                <w:szCs w:val="24"/>
              </w:rPr>
              <w:t>本次采购过程中如果产生专家评审费将由成交供应商承担；</w:t>
            </w: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中标后需20日内签订采购合同和购销廉政协议，成交供应商拒绝签订或履行采购合同，采购人将向采购平台管理部门书面投诉，同时纳入采购人黑名单进行管理</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其他未尽事宜由供需双方在采购合同中详细约定</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4.</w:t>
            </w:r>
            <w:r>
              <w:rPr>
                <w:rFonts w:hint="eastAsia" w:ascii="方正仿宋_GBK" w:hAnsi="方正仿宋_GBK" w:eastAsia="方正仿宋_GBK" w:cs="方正仿宋_GBK"/>
                <w:sz w:val="24"/>
                <w:szCs w:val="24"/>
              </w:rPr>
              <w:t>本项目不接受联合体参与投标</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r>
              <w:rPr>
                <w:rFonts w:hint="eastAsia" w:ascii="方正仿宋_GBK" w:hAnsi="方正仿宋_GBK" w:eastAsia="方正仿宋_GBK" w:cs="方正仿宋_GBK"/>
                <w:sz w:val="24"/>
                <w:szCs w:val="24"/>
                <w:lang w:val="en-US" w:eastAsia="zh-CN"/>
              </w:rPr>
              <w:t>6.</w:t>
            </w:r>
            <w:r>
              <w:rPr>
                <w:rFonts w:hint="eastAsia" w:ascii="方正仿宋_GBK" w:hAnsi="方正仿宋_GBK" w:eastAsia="方正仿宋_GBK" w:cs="方正仿宋_GBK"/>
                <w:sz w:val="24"/>
                <w:szCs w:val="24"/>
              </w:rPr>
              <w:t>如投标人违反《中华人民共和国政府采购法》《中华人民共和国政府采购实施条例》等相关规定，采购人将按规定追究投标人法律责任。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488" w:type="dxa"/>
            <w:gridSpan w:val="6"/>
            <w:tcBorders>
              <w:top w:val="single" w:color="000000" w:sz="6" w:space="0"/>
              <w:left w:val="single" w:color="000000" w:sz="6" w:space="0"/>
              <w:bottom w:val="single" w:color="000000" w:sz="6" w:space="0"/>
            </w:tcBorders>
            <w:tcMar>
              <w:top w:w="30" w:type="dxa"/>
              <w:left w:w="45" w:type="dxa"/>
              <w:bottom w:w="30" w:type="dxa"/>
              <w:right w:w="45" w:type="dxa"/>
            </w:tcMar>
            <w:vAlign w:val="center"/>
          </w:tcPr>
          <w:p>
            <w:pPr>
              <w:widowControl/>
              <w:spacing w:line="360" w:lineRule="auto"/>
              <w:jc w:val="left"/>
              <w:rPr>
                <w:rFonts w:hint="eastAsia" w:ascii="宋体" w:hAnsi="宋体" w:eastAsia="宋体" w:cs="宋体"/>
                <w:b/>
                <w:bCs/>
                <w:i w:val="0"/>
                <w:caps w:val="0"/>
                <w:color w:val="555555"/>
                <w:spacing w:val="0"/>
                <w:kern w:val="0"/>
                <w:sz w:val="32"/>
                <w:szCs w:val="32"/>
                <w:lang w:val="en-US" w:eastAsia="zh-CN" w:bidi="ar"/>
              </w:rPr>
            </w:pPr>
            <w:r>
              <w:rPr>
                <w:rFonts w:hint="eastAsia" w:ascii="仿宋" w:hAnsi="仿宋" w:eastAsia="仿宋" w:cs="仿宋"/>
                <w:b/>
                <w:bCs/>
                <w:i w:val="0"/>
                <w:caps w:val="0"/>
                <w:color w:val="555555"/>
                <w:spacing w:val="0"/>
                <w:kern w:val="0"/>
                <w:sz w:val="32"/>
                <w:szCs w:val="32"/>
                <w:lang w:val="en-US" w:eastAsia="zh-CN" w:bidi="ar"/>
              </w:rPr>
              <w:t xml:space="preserve">二、供应商响应情况 </w:t>
            </w:r>
            <w:r>
              <w:rPr>
                <w:rFonts w:hint="eastAsia" w:ascii="宋体" w:hAnsi="宋体" w:eastAsia="宋体" w:cs="宋体"/>
                <w:b/>
                <w:bCs/>
                <w:i w:val="0"/>
                <w:caps w:val="0"/>
                <w:color w:val="555555"/>
                <w:spacing w:val="0"/>
                <w:kern w:val="0"/>
                <w:sz w:val="24"/>
                <w:szCs w:val="24"/>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10488" w:type="dxa"/>
            <w:gridSpan w:val="6"/>
            <w:tcBorders>
              <w:top w:val="single" w:color="000000" w:sz="6" w:space="0"/>
              <w:left w:val="single" w:color="000000" w:sz="6" w:space="0"/>
              <w:bottom w:val="single" w:color="000000" w:sz="6" w:space="0"/>
            </w:tcBorders>
            <w:tcMar>
              <w:top w:w="30" w:type="dxa"/>
              <w:left w:w="45" w:type="dxa"/>
              <w:bottom w:w="30" w:type="dxa"/>
              <w:right w:w="45" w:type="dxa"/>
            </w:tcMar>
            <w:vAlign w:val="center"/>
          </w:tcPr>
          <w:tbl>
            <w:tblPr>
              <w:tblStyle w:val="13"/>
              <w:tblW w:w="10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2051"/>
              <w:gridCol w:w="1485"/>
              <w:gridCol w:w="1485"/>
              <w:gridCol w:w="1486"/>
              <w:gridCol w:w="1486"/>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widowControl/>
                    <w:spacing w:line="360" w:lineRule="auto"/>
                    <w:jc w:val="center"/>
                    <w:rPr>
                      <w:rFonts w:hint="default"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vertAlign w:val="baseline"/>
                      <w:lang w:val="en-US" w:eastAsia="zh-CN" w:bidi="ar"/>
                    </w:rPr>
                    <w:t>序号</w:t>
                  </w:r>
                </w:p>
              </w:tc>
              <w:tc>
                <w:tcPr>
                  <w:tcW w:w="2051" w:type="dxa"/>
                </w:tcPr>
                <w:p>
                  <w:pPr>
                    <w:widowControl/>
                    <w:spacing w:line="360" w:lineRule="auto"/>
                    <w:jc w:val="center"/>
                    <w:rPr>
                      <w:rFonts w:hint="default"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vertAlign w:val="baseline"/>
                      <w:lang w:val="en-US" w:eastAsia="zh-CN" w:bidi="ar"/>
                    </w:rPr>
                    <w:t>名称</w:t>
                  </w:r>
                </w:p>
              </w:tc>
              <w:tc>
                <w:tcPr>
                  <w:tcW w:w="1485" w:type="dxa"/>
                </w:tcPr>
                <w:p>
                  <w:pPr>
                    <w:widowControl/>
                    <w:spacing w:line="360" w:lineRule="auto"/>
                    <w:jc w:val="center"/>
                    <w:rPr>
                      <w:rFonts w:hint="eastAsia"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lang w:val="en-US" w:eastAsia="zh-CN" w:bidi="ar"/>
                    </w:rPr>
                    <w:t>技术参数是否完全响应</w:t>
                  </w:r>
                </w:p>
              </w:tc>
              <w:tc>
                <w:tcPr>
                  <w:tcW w:w="1485" w:type="dxa"/>
                </w:tcPr>
                <w:p>
                  <w:pPr>
                    <w:widowControl/>
                    <w:spacing w:line="360" w:lineRule="auto"/>
                    <w:jc w:val="center"/>
                    <w:rPr>
                      <w:rFonts w:hint="eastAsia"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lang w:val="en-US" w:eastAsia="zh-CN" w:bidi="ar"/>
                    </w:rPr>
                    <w:t>商务要求是否完全响应</w:t>
                  </w:r>
                </w:p>
              </w:tc>
              <w:tc>
                <w:tcPr>
                  <w:tcW w:w="1486" w:type="dxa"/>
                </w:tcPr>
                <w:p>
                  <w:pPr>
                    <w:widowControl/>
                    <w:spacing w:line="360" w:lineRule="auto"/>
                    <w:jc w:val="center"/>
                    <w:rPr>
                      <w:rFonts w:hint="eastAsia"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lang w:val="en-US" w:eastAsia="zh-CN" w:bidi="ar"/>
                    </w:rPr>
                    <w:t>产品品牌及型号</w:t>
                  </w:r>
                </w:p>
              </w:tc>
              <w:tc>
                <w:tcPr>
                  <w:tcW w:w="1486" w:type="dxa"/>
                </w:tcPr>
                <w:p>
                  <w:pPr>
                    <w:widowControl/>
                    <w:spacing w:line="360" w:lineRule="auto"/>
                    <w:jc w:val="center"/>
                    <w:rPr>
                      <w:rFonts w:hint="eastAsia"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lang w:val="en-US" w:eastAsia="zh-CN" w:bidi="ar"/>
                    </w:rPr>
                    <w:t>产品质量保证期（年）</w:t>
                  </w:r>
                </w:p>
              </w:tc>
              <w:tc>
                <w:tcPr>
                  <w:tcW w:w="1486" w:type="dxa"/>
                </w:tcPr>
                <w:p>
                  <w:pPr>
                    <w:widowControl/>
                    <w:spacing w:line="360" w:lineRule="auto"/>
                    <w:jc w:val="center"/>
                    <w:rPr>
                      <w:rFonts w:hint="default"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lang w:val="en-US" w:eastAsia="zh-CN" w:bidi="ar"/>
                    </w:rPr>
                    <w:t>产品总报价（元）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widowControl/>
                    <w:spacing w:line="360" w:lineRule="auto"/>
                    <w:jc w:val="left"/>
                    <w:rPr>
                      <w:rFonts w:hint="default" w:ascii="仿宋" w:hAnsi="仿宋" w:eastAsia="仿宋" w:cs="仿宋"/>
                      <w:b/>
                      <w:bCs/>
                      <w:i w:val="0"/>
                      <w:caps w:val="0"/>
                      <w:color w:val="555555"/>
                      <w:spacing w:val="0"/>
                      <w:kern w:val="0"/>
                      <w:sz w:val="32"/>
                      <w:szCs w:val="32"/>
                      <w:vertAlign w:val="baseline"/>
                      <w:lang w:val="en-US" w:eastAsia="zh-CN" w:bidi="ar"/>
                    </w:rPr>
                  </w:pPr>
                  <w:r>
                    <w:rPr>
                      <w:rFonts w:hint="eastAsia" w:ascii="仿宋" w:hAnsi="仿宋" w:eastAsia="仿宋" w:cs="仿宋"/>
                      <w:b/>
                      <w:bCs/>
                      <w:i w:val="0"/>
                      <w:caps w:val="0"/>
                      <w:color w:val="555555"/>
                      <w:spacing w:val="0"/>
                      <w:kern w:val="0"/>
                      <w:sz w:val="32"/>
                      <w:szCs w:val="32"/>
                      <w:vertAlign w:val="baseline"/>
                      <w:lang w:val="en-US" w:eastAsia="zh-CN" w:bidi="ar"/>
                    </w:rPr>
                    <w:t>1</w:t>
                  </w:r>
                </w:p>
              </w:tc>
              <w:tc>
                <w:tcPr>
                  <w:tcW w:w="2051" w:type="dxa"/>
                  <w:vAlign w:val="center"/>
                </w:tcPr>
                <w:p>
                  <w:pPr>
                    <w:widowControl/>
                    <w:spacing w:line="360" w:lineRule="auto"/>
                    <w:jc w:val="center"/>
                    <w:rPr>
                      <w:rFonts w:hint="eastAsia" w:ascii="仿宋" w:hAnsi="仿宋" w:eastAsia="仿宋" w:cs="仿宋"/>
                      <w:b/>
                      <w:bCs/>
                      <w:i w:val="0"/>
                      <w:caps w:val="0"/>
                      <w:color w:val="555555"/>
                      <w:spacing w:val="0"/>
                      <w:kern w:val="0"/>
                      <w:sz w:val="24"/>
                      <w:szCs w:val="24"/>
                      <w:vertAlign w:val="baseline"/>
                      <w:lang w:val="en-US" w:eastAsia="zh-CN" w:bidi="ar"/>
                    </w:rPr>
                  </w:pPr>
                  <w:r>
                    <w:rPr>
                      <w:rFonts w:hint="eastAsia" w:ascii="Times New Roman" w:hAnsi="Times New Roman" w:eastAsia="仿宋" w:cs="Times New Roman"/>
                      <w:b/>
                      <w:kern w:val="0"/>
                      <w:sz w:val="21"/>
                      <w:szCs w:val="21"/>
                      <w:lang w:val="en-US" w:eastAsia="zh-CN"/>
                    </w:rPr>
                    <w:t>迷你式公交一卡通</w:t>
                  </w:r>
                </w:p>
              </w:tc>
              <w:tc>
                <w:tcPr>
                  <w:tcW w:w="1485"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5"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vMerge w:val="restart"/>
                </w:tcPr>
                <w:p>
                  <w:pPr>
                    <w:widowControl/>
                    <w:spacing w:line="360" w:lineRule="auto"/>
                    <w:jc w:val="left"/>
                    <w:rPr>
                      <w:rFonts w:hint="default" w:ascii="仿宋" w:hAnsi="仿宋" w:eastAsia="仿宋" w:cs="仿宋"/>
                      <w:b/>
                      <w:bCs/>
                      <w:i w:val="0"/>
                      <w:caps w:val="0"/>
                      <w:color w:val="555555"/>
                      <w:spacing w:val="0"/>
                      <w:kern w:val="0"/>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widowControl/>
                    <w:spacing w:line="360" w:lineRule="auto"/>
                    <w:jc w:val="left"/>
                    <w:rPr>
                      <w:rFonts w:hint="default" w:ascii="仿宋" w:hAnsi="仿宋" w:eastAsia="仿宋" w:cs="仿宋"/>
                      <w:b/>
                      <w:bCs/>
                      <w:i w:val="0"/>
                      <w:caps w:val="0"/>
                      <w:color w:val="555555"/>
                      <w:spacing w:val="0"/>
                      <w:kern w:val="0"/>
                      <w:sz w:val="32"/>
                      <w:szCs w:val="32"/>
                      <w:vertAlign w:val="baseline"/>
                      <w:lang w:val="en-US" w:eastAsia="zh-CN" w:bidi="ar"/>
                    </w:rPr>
                  </w:pPr>
                  <w:r>
                    <w:rPr>
                      <w:rFonts w:hint="eastAsia" w:ascii="仿宋" w:hAnsi="仿宋" w:eastAsia="仿宋" w:cs="仿宋"/>
                      <w:b/>
                      <w:bCs/>
                      <w:i w:val="0"/>
                      <w:caps w:val="0"/>
                      <w:color w:val="555555"/>
                      <w:spacing w:val="0"/>
                      <w:kern w:val="0"/>
                      <w:sz w:val="32"/>
                      <w:szCs w:val="32"/>
                      <w:vertAlign w:val="baseline"/>
                      <w:lang w:val="en-US" w:eastAsia="zh-CN" w:bidi="ar"/>
                    </w:rPr>
                    <w:t>2</w:t>
                  </w:r>
                </w:p>
              </w:tc>
              <w:tc>
                <w:tcPr>
                  <w:tcW w:w="2051" w:type="dxa"/>
                  <w:vAlign w:val="center"/>
                </w:tcPr>
                <w:p>
                  <w:pPr>
                    <w:pStyle w:val="8"/>
                    <w:rPr>
                      <w:rFonts w:hint="eastAsia" w:ascii="仿宋" w:hAnsi="仿宋" w:eastAsia="仿宋" w:cs="仿宋"/>
                      <w:b/>
                      <w:bCs/>
                      <w:i w:val="0"/>
                      <w:caps w:val="0"/>
                      <w:color w:val="555555"/>
                      <w:spacing w:val="0"/>
                      <w:kern w:val="0"/>
                      <w:sz w:val="24"/>
                      <w:szCs w:val="24"/>
                      <w:vertAlign w:val="baseline"/>
                      <w:lang w:val="en-US" w:eastAsia="zh-CN" w:bidi="ar"/>
                    </w:rPr>
                  </w:pPr>
                  <w:r>
                    <w:rPr>
                      <w:rFonts w:hint="eastAsia" w:ascii="Times New Roman" w:hAnsi="Times New Roman" w:eastAsia="仿宋" w:cs="Times New Roman"/>
                      <w:b/>
                      <w:kern w:val="0"/>
                      <w:sz w:val="21"/>
                      <w:szCs w:val="21"/>
                      <w:lang w:val="en-US" w:eastAsia="zh-CN" w:bidi="ar-SA"/>
                    </w:rPr>
                    <w:t>卡片式公交一卡通</w:t>
                  </w:r>
                </w:p>
              </w:tc>
              <w:tc>
                <w:tcPr>
                  <w:tcW w:w="1485"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5"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vMerge w:val="continue"/>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r>
          </w:tbl>
          <w:p>
            <w:pPr>
              <w:widowControl/>
              <w:spacing w:line="360" w:lineRule="auto"/>
              <w:jc w:val="left"/>
              <w:rPr>
                <w:rFonts w:hint="eastAsia" w:ascii="仿宋" w:hAnsi="仿宋" w:eastAsia="仿宋" w:cs="仿宋"/>
                <w:b/>
                <w:bCs/>
                <w:i w:val="0"/>
                <w:caps w:val="0"/>
                <w:color w:val="555555"/>
                <w:spacing w:val="0"/>
                <w:kern w:val="0"/>
                <w:sz w:val="32"/>
                <w:szCs w:val="3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488" w:type="dxa"/>
            <w:gridSpan w:val="6"/>
            <w:tcBorders>
              <w:top w:val="single" w:color="000000" w:sz="6" w:space="0"/>
              <w:left w:val="single" w:color="000000" w:sz="6" w:space="0"/>
              <w:bottom w:val="single" w:color="000000" w:sz="6" w:space="0"/>
            </w:tcBorders>
            <w:tcMar>
              <w:top w:w="30" w:type="dxa"/>
              <w:left w:w="45" w:type="dxa"/>
              <w:bottom w:w="30" w:type="dxa"/>
              <w:right w:w="4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default"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注意：技术参数请在投标产品相关资料中提供佐证材料。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right"/>
              <w:textAlignment w:val="auto"/>
              <w:outlineLvl w:val="9"/>
              <w:rPr>
                <w:rFonts w:hint="eastAsia"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 xml:space="preserve">供应商名称（盖章）：               </w:t>
            </w:r>
          </w:p>
          <w:p>
            <w:pPr>
              <w:widowControl/>
              <w:spacing w:line="360" w:lineRule="auto"/>
              <w:jc w:val="center"/>
              <w:rPr>
                <w:rFonts w:hint="eastAsia" w:ascii="宋体" w:hAnsi="宋体" w:eastAsia="宋体" w:cs="宋体"/>
                <w:b/>
                <w:bCs/>
                <w:i w:val="0"/>
                <w:caps w:val="0"/>
                <w:color w:val="555555"/>
                <w:spacing w:val="0"/>
                <w:kern w:val="0"/>
                <w:sz w:val="32"/>
                <w:szCs w:val="32"/>
                <w:lang w:val="en-US" w:eastAsia="zh-CN" w:bidi="ar"/>
              </w:rPr>
            </w:pPr>
            <w:r>
              <w:rPr>
                <w:rFonts w:hint="eastAsia" w:ascii="仿宋" w:hAnsi="仿宋" w:eastAsia="仿宋" w:cs="仿宋"/>
                <w:b/>
                <w:bCs/>
                <w:i w:val="0"/>
                <w:caps w:val="0"/>
                <w:color w:val="555555"/>
                <w:spacing w:val="0"/>
                <w:kern w:val="0"/>
                <w:sz w:val="24"/>
                <w:szCs w:val="24"/>
                <w:lang w:val="en-US" w:eastAsia="zh-CN" w:bidi="ar"/>
              </w:rPr>
              <w:t xml:space="preserve">                                           日期：</w:t>
            </w:r>
            <w:r>
              <w:rPr>
                <w:rFonts w:hint="eastAsia" w:ascii="宋体" w:hAnsi="宋体" w:eastAsia="宋体" w:cs="宋体"/>
                <w:b/>
                <w:bCs/>
                <w:i w:val="0"/>
                <w:caps w:val="0"/>
                <w:color w:val="555555"/>
                <w:spacing w:val="0"/>
                <w:kern w:val="0"/>
                <w:sz w:val="24"/>
                <w:szCs w:val="24"/>
                <w:lang w:val="en-US" w:eastAsia="zh-CN" w:bidi="ar"/>
              </w:rPr>
              <w:t xml:space="preserve">     </w:t>
            </w:r>
          </w:p>
        </w:tc>
      </w:tr>
    </w:tbl>
    <w:p>
      <w:pPr>
        <w:numPr>
          <w:ilvl w:val="0"/>
          <w:numId w:val="0"/>
        </w:numPr>
        <w:wordWrap w:val="0"/>
        <w:spacing w:line="440" w:lineRule="exact"/>
        <w:rPr>
          <w:rFonts w:hint="default" w:ascii="方正仿宋_GBK" w:hAnsi="方正仿宋_GBK" w:eastAsia="方正仿宋_GBK" w:cs="方正仿宋_GBK"/>
          <w:color w:val="auto"/>
          <w:sz w:val="28"/>
          <w:szCs w:val="28"/>
          <w:highlight w:val="none"/>
          <w:lang w:val="en-US" w:eastAsia="zh-CN"/>
        </w:rPr>
        <w:sectPr>
          <w:pgSz w:w="11906" w:h="16838"/>
          <w:pgMar w:top="1134" w:right="1134" w:bottom="1134" w:left="1134" w:header="851" w:footer="992" w:gutter="0"/>
          <w:cols w:space="720" w:num="1"/>
          <w:docGrid w:type="lines" w:linePitch="312" w:charSpace="0"/>
        </w:sectPr>
      </w:pPr>
    </w:p>
    <w:p>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3.法定代表人身份证明书</w:t>
      </w:r>
    </w:p>
    <w:p>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（法定代表人姓名）      </w:t>
      </w:r>
      <w:r>
        <w:rPr>
          <w:rFonts w:hint="eastAsia" w:ascii="仿宋_GB2312" w:hAnsi="宋体" w:eastAsia="仿宋_GB2312"/>
          <w:color w:val="auto"/>
          <w:sz w:val="28"/>
          <w:szCs w:val="28"/>
        </w:rPr>
        <w:t>在</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任</w:t>
      </w:r>
      <w:r>
        <w:rPr>
          <w:rFonts w:hint="eastAsia" w:ascii="仿宋_GB2312" w:hAnsi="宋体" w:eastAsia="仿宋_GB2312"/>
          <w:color w:val="auto"/>
          <w:sz w:val="28"/>
          <w:szCs w:val="28"/>
          <w:u w:val="single"/>
        </w:rPr>
        <w:t xml:space="preserve">（职务名称）      </w:t>
      </w:r>
      <w:r>
        <w:rPr>
          <w:rFonts w:hint="eastAsia" w:ascii="仿宋_GB2312" w:hAnsi="宋体" w:eastAsia="仿宋_GB2312"/>
          <w:color w:val="auto"/>
          <w:sz w:val="28"/>
          <w:szCs w:val="28"/>
        </w:rPr>
        <w:t>职务，是</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的法定代表人。</w:t>
      </w:r>
    </w:p>
    <w:p>
      <w:pPr>
        <w:adjustRightInd w:val="0"/>
        <w:snapToGrid w:val="0"/>
        <w:spacing w:line="360" w:lineRule="auto"/>
        <w:ind w:firstLine="700" w:firstLineChars="250"/>
        <w:rPr>
          <w:rFonts w:ascii="仿宋_GB2312" w:eastAsia="仿宋_GB2312"/>
          <w:color w:val="auto"/>
          <w:sz w:val="28"/>
          <w:szCs w:val="28"/>
        </w:rPr>
      </w:pPr>
      <w:bookmarkStart w:id="2" w:name="_Toc156730450"/>
      <w:bookmarkStart w:id="3" w:name="_Toc156815770"/>
      <w:bookmarkStart w:id="4" w:name="_Toc166139912"/>
      <w:bookmarkStart w:id="5" w:name="_Toc128229745"/>
      <w:bookmarkStart w:id="6" w:name="_Toc156196470"/>
      <w:bookmarkStart w:id="7" w:name="_Toc173677397"/>
      <w:bookmarkStart w:id="8" w:name="_Toc128229302"/>
      <w:bookmarkStart w:id="9" w:name="_Toc175017342"/>
      <w:bookmarkStart w:id="10" w:name="_Toc166549448"/>
      <w:bookmarkStart w:id="11" w:name="_Toc128229916"/>
      <w:bookmarkStart w:id="12" w:name="_Toc156196559"/>
      <w:r>
        <w:rPr>
          <w:rFonts w:hint="eastAsia" w:ascii="仿宋_GB2312" w:eastAsia="仿宋_GB2312"/>
          <w:color w:val="auto"/>
          <w:sz w:val="28"/>
          <w:szCs w:val="28"/>
        </w:rPr>
        <w:t>特此证明。</w:t>
      </w:r>
      <w:bookmarkEnd w:id="2"/>
      <w:bookmarkEnd w:id="3"/>
      <w:bookmarkEnd w:id="4"/>
      <w:bookmarkEnd w:id="5"/>
      <w:bookmarkEnd w:id="6"/>
      <w:bookmarkEnd w:id="7"/>
      <w:bookmarkEnd w:id="8"/>
      <w:bookmarkEnd w:id="9"/>
      <w:bookmarkEnd w:id="10"/>
      <w:bookmarkEnd w:id="11"/>
      <w:bookmarkEnd w:id="12"/>
    </w:p>
    <w:p>
      <w:pPr>
        <w:adjustRightInd w:val="0"/>
        <w:snapToGrid w:val="0"/>
        <w:spacing w:line="360" w:lineRule="auto"/>
        <w:ind w:firstLine="700" w:firstLineChars="250"/>
        <w:rPr>
          <w:rFonts w:ascii="仿宋_GB2312" w:eastAsia="仿宋_GB2312"/>
          <w:color w:val="auto"/>
          <w:sz w:val="28"/>
          <w:szCs w:val="28"/>
        </w:rPr>
      </w:pPr>
      <w:r>
        <w:rPr>
          <w:rFonts w:hint="eastAsia" w:ascii="仿宋_GB2312" w:eastAsia="仿宋_GB2312"/>
          <w:color w:val="auto"/>
          <w:sz w:val="28"/>
          <w:szCs w:val="28"/>
        </w:rPr>
        <w:t xml:space="preserve">                                        </w:t>
      </w:r>
      <w:bookmarkStart w:id="13" w:name="_Toc128229917"/>
      <w:bookmarkStart w:id="14" w:name="_Toc156196560"/>
      <w:bookmarkStart w:id="15" w:name="_Toc156815771"/>
      <w:bookmarkStart w:id="16" w:name="_Toc128229746"/>
      <w:bookmarkStart w:id="17" w:name="_Toc173677398"/>
      <w:bookmarkStart w:id="18" w:name="_Toc156196471"/>
      <w:bookmarkStart w:id="19" w:name="_Toc166139913"/>
      <w:bookmarkStart w:id="20" w:name="_Toc175017343"/>
      <w:bookmarkStart w:id="21" w:name="_Toc156730451"/>
      <w:bookmarkStart w:id="22" w:name="_Toc166549449"/>
      <w:bookmarkStart w:id="23" w:name="_Toc128229303"/>
      <w:r>
        <w:rPr>
          <w:rFonts w:hint="eastAsia" w:ascii="仿宋_GB2312" w:eastAsia="仿宋_GB2312"/>
          <w:color w:val="auto"/>
          <w:sz w:val="28"/>
          <w:szCs w:val="28"/>
        </w:rPr>
        <w:t xml:space="preserve">  投标人全称</w:t>
      </w:r>
      <w:bookmarkEnd w:id="13"/>
      <w:bookmarkEnd w:id="14"/>
      <w:bookmarkEnd w:id="15"/>
      <w:bookmarkEnd w:id="16"/>
      <w:bookmarkEnd w:id="17"/>
      <w:bookmarkEnd w:id="18"/>
      <w:bookmarkEnd w:id="19"/>
      <w:bookmarkEnd w:id="20"/>
      <w:bookmarkEnd w:id="21"/>
      <w:bookmarkEnd w:id="22"/>
      <w:bookmarkEnd w:id="23"/>
      <w:r>
        <w:rPr>
          <w:rFonts w:hint="eastAsia" w:ascii="仿宋_GB2312" w:eastAsia="仿宋_GB2312"/>
          <w:color w:val="auto"/>
          <w:sz w:val="28"/>
          <w:szCs w:val="28"/>
        </w:rPr>
        <w:t>：</w:t>
      </w:r>
      <w:r>
        <w:rPr>
          <w:rFonts w:hint="eastAsia" w:ascii="仿宋_GB2312" w:hAnsi="宋体" w:eastAsia="仿宋_GB2312"/>
          <w:color w:val="auto"/>
          <w:sz w:val="28"/>
          <w:szCs w:val="28"/>
        </w:rPr>
        <w:t>（公章）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年   月   日         </w:t>
      </w:r>
      <w:r>
        <w:rPr>
          <w:rFonts w:hint="eastAsia" w:ascii="仿宋_GB2312" w:hAnsi="宋体" w:eastAsia="仿宋_GB2312"/>
          <w:color w:val="auto"/>
          <w:sz w:val="24"/>
        </w:rPr>
        <w:t xml:space="preserve">   </w:t>
      </w:r>
    </w:p>
    <w:p>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4" w:name="_Toc128229304"/>
      <w:bookmarkStart w:id="25" w:name="_Toc237057793"/>
      <w:bookmarkStart w:id="26" w:name="_Toc173677399"/>
      <w:bookmarkStart w:id="27" w:name="_Toc128014297"/>
      <w:bookmarkStart w:id="28" w:name="_Toc156196472"/>
      <w:bookmarkStart w:id="29" w:name="_Toc128229747"/>
      <w:bookmarkStart w:id="30" w:name="_Toc175017344"/>
    </w:p>
    <w:p>
      <w:pPr>
        <w:pStyle w:val="3"/>
        <w:numPr>
          <w:ilvl w:val="0"/>
          <w:numId w:val="2"/>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24"/>
      <w:bookmarkEnd w:id="25"/>
      <w:bookmarkEnd w:id="26"/>
      <w:bookmarkEnd w:id="27"/>
      <w:bookmarkEnd w:id="28"/>
      <w:bookmarkEnd w:id="29"/>
      <w:bookmarkEnd w:id="30"/>
    </w:p>
    <w:p>
      <w:pPr>
        <w:numPr>
          <w:ilvl w:val="0"/>
          <w:numId w:val="0"/>
        </w:numPr>
        <w:jc w:val="center"/>
        <w:rPr>
          <w:b/>
          <w:bCs/>
          <w:sz w:val="32"/>
          <w:szCs w:val="32"/>
        </w:rPr>
      </w:pPr>
      <w:r>
        <w:rPr>
          <w:rFonts w:hint="eastAsia"/>
          <w:b/>
          <w:bCs/>
          <w:color w:val="auto"/>
          <w:sz w:val="32"/>
          <w:szCs w:val="32"/>
        </w:rPr>
        <w:t>投标人法定代表人授权委托书（格式）</w:t>
      </w:r>
    </w:p>
    <w:p>
      <w:pPr>
        <w:pStyle w:val="6"/>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w:t>
      </w:r>
      <w:r>
        <w:rPr>
          <w:rFonts w:hint="eastAsia" w:ascii="仿宋_GB2312" w:hAnsi="宋体" w:eastAsia="仿宋_GB2312"/>
          <w:color w:val="auto"/>
          <w:sz w:val="28"/>
          <w:szCs w:val="28"/>
        </w:rPr>
        <w:t>等具体工作，并签署全部有关的文件、协议及合同。</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pPr>
        <w:tabs>
          <w:tab w:val="left" w:pos="6300"/>
        </w:tabs>
        <w:adjustRightInd w:val="0"/>
        <w:snapToGrid w:val="0"/>
        <w:spacing w:line="360" w:lineRule="auto"/>
        <w:ind w:firstLine="652"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pPr>
        <w:tabs>
          <w:tab w:val="left" w:pos="6300"/>
        </w:tabs>
        <w:adjustRightInd w:val="0"/>
        <w:snapToGrid w:val="0"/>
        <w:spacing w:line="360" w:lineRule="auto"/>
        <w:ind w:firstLine="700"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color w:val="auto"/>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4"/>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pPr>
        <w:pStyle w:val="4"/>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6.其他可以证明投标人有能力完成本项目的佐证材料</w:t>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7.投标产品相关资料（合格证、医疗器械注册证或备案证、产品参数性能彩页、检验检测报告等）</w:t>
      </w:r>
    </w:p>
    <w:p>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pPr>
        <w:spacing w:line="594" w:lineRule="exact"/>
        <w:jc w:val="left"/>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w:t>
      </w:r>
      <w:r>
        <w:rPr>
          <w:rFonts w:hint="eastAsia" w:ascii="方正仿宋_GBK" w:hAnsi="方正仿宋_GBK" w:eastAsia="方正仿宋_GBK" w:cs="方正仿宋_GBK"/>
          <w:b/>
          <w:bCs/>
          <w:sz w:val="32"/>
          <w:szCs w:val="32"/>
        </w:rPr>
        <w:t>质保及售后服务承诺</w:t>
      </w:r>
    </w:p>
    <w:p>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质保及</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pPr>
        <w:rPr>
          <w:rFonts w:hint="eastAsia" w:ascii="仿宋_GB2312" w:eastAsia="仿宋_GB2312" w:cs="宋体"/>
          <w:color w:val="auto"/>
          <w:sz w:val="32"/>
          <w:szCs w:val="32"/>
          <w:lang w:val="en-US" w:eastAsia="zh-CN"/>
        </w:rPr>
      </w:pPr>
    </w:p>
    <w:p>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pPr>
        <w:spacing w:line="594" w:lineRule="exact"/>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9.质保期后易损配件报价</w:t>
      </w:r>
    </w:p>
    <w:p>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2"/>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vAlign w:val="center"/>
          </w:tcPr>
          <w:p>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vAlign w:val="top"/>
          </w:tcPr>
          <w:p>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top"/>
          </w:tcPr>
          <w:p>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vAlign w:val="top"/>
          </w:tcPr>
          <w:p>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top"/>
          </w:tcPr>
          <w:p>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vAlign w:val="top"/>
          </w:tcPr>
          <w:p>
            <w:pPr>
              <w:spacing w:line="594" w:lineRule="exact"/>
              <w:ind w:firstLine="600" w:firstLineChars="200"/>
              <w:rPr>
                <w:rFonts w:hint="eastAsia" w:ascii="微软雅黑" w:hAnsi="微软雅黑" w:eastAsia="微软雅黑"/>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r>
    </w:tbl>
    <w:p>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注：清单内产品的价格供应商应承诺为重庆市最低价格。</w:t>
      </w:r>
    </w:p>
    <w:p>
      <w:pPr>
        <w:pStyle w:val="4"/>
        <w:jc w:val="both"/>
        <w:rPr>
          <w:rFonts w:hint="eastAsia" w:ascii="仿宋_GB2312" w:eastAsia="仿宋_GB2312" w:cs="宋体"/>
          <w:color w:val="auto"/>
          <w:sz w:val="32"/>
          <w:szCs w:val="32"/>
          <w:lang w:val="en-US" w:eastAsia="zh-CN"/>
        </w:rPr>
      </w:pPr>
    </w:p>
    <w:p>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10.投标廉政承诺书</w:t>
      </w:r>
    </w:p>
    <w:p>
      <w:pPr>
        <w:pStyle w:val="4"/>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4"/>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pStyle w:val="4"/>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pPr>
        <w:rPr>
          <w:rFonts w:hint="eastAsia" w:ascii="仿宋_GB2312" w:hAnsi="宋体" w:eastAsia="仿宋_GB2312"/>
          <w:sz w:val="24"/>
        </w:rPr>
      </w:pPr>
      <w:r>
        <w:rPr>
          <w:rFonts w:hint="eastAsia" w:ascii="仿宋_GB2312" w:hAnsi="宋体" w:eastAsia="仿宋_GB2312"/>
          <w:sz w:val="24"/>
        </w:rPr>
        <w:br w:type="page"/>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11.密封档案袋格式要求</w:t>
      </w:r>
    </w:p>
    <w:p>
      <w:pPr>
        <w:rPr>
          <w:rFonts w:hint="default"/>
          <w:lang w:val="en-US" w:eastAsia="zh-CN"/>
        </w:rPr>
      </w:pPr>
      <w:r>
        <w:rPr>
          <w:rFonts w:hint="default"/>
          <w:lang w:val="en-US" w:eastAsia="zh-CN"/>
        </w:rPr>
        <w:drawing>
          <wp:inline distT="0" distB="0" distL="114300" distR="114300">
            <wp:extent cx="3073400" cy="4010025"/>
            <wp:effectExtent l="0" t="0" r="12700" b="952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3073400" cy="4010025"/>
                    </a:xfrm>
                    <a:prstGeom prst="rect">
                      <a:avLst/>
                    </a:prstGeom>
                  </pic:spPr>
                </pic:pic>
              </a:graphicData>
            </a:graphic>
          </wp:inline>
        </w:drawing>
      </w:r>
      <w:r>
        <w:rPr>
          <w:rFonts w:hint="default"/>
          <w:lang w:val="en-US" w:eastAsia="zh-CN"/>
        </w:rPr>
        <w:drawing>
          <wp:inline distT="0" distB="0" distL="114300" distR="114300">
            <wp:extent cx="3068320" cy="3910330"/>
            <wp:effectExtent l="0" t="0" r="17780" b="1397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3068320" cy="3910330"/>
                    </a:xfrm>
                    <a:prstGeom prst="rect">
                      <a:avLst/>
                    </a:prstGeom>
                  </pic:spPr>
                </pic:pic>
              </a:graphicData>
            </a:graphic>
          </wp:inline>
        </w:drawing>
      </w:r>
    </w:p>
    <w:p>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4FBBF"/>
    <w:multiLevelType w:val="singleLevel"/>
    <w:tmpl w:val="0804FBBF"/>
    <w:lvl w:ilvl="0" w:tentative="0">
      <w:start w:val="4"/>
      <w:numFmt w:val="decimal"/>
      <w:lvlText w:val="%1."/>
      <w:lvlJc w:val="left"/>
      <w:pPr>
        <w:tabs>
          <w:tab w:val="left" w:pos="312"/>
        </w:tabs>
      </w:pPr>
    </w:lvl>
  </w:abstractNum>
  <w:abstractNum w:abstractNumId="1">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MzVjYWFlZmQxNWRiOGEwMDU0MTJlYjA2NzM5Y2UifQ=="/>
  </w:docVars>
  <w:rsids>
    <w:rsidRoot w:val="00000000"/>
    <w:rsid w:val="000A5C6E"/>
    <w:rsid w:val="015B6D6E"/>
    <w:rsid w:val="056E5276"/>
    <w:rsid w:val="06FB539B"/>
    <w:rsid w:val="0C872834"/>
    <w:rsid w:val="0CE64C8D"/>
    <w:rsid w:val="0D5B0206"/>
    <w:rsid w:val="0FD01451"/>
    <w:rsid w:val="122D0B62"/>
    <w:rsid w:val="1922346A"/>
    <w:rsid w:val="1AAE2C67"/>
    <w:rsid w:val="1AF86BE0"/>
    <w:rsid w:val="1BDE0896"/>
    <w:rsid w:val="1CF00EFC"/>
    <w:rsid w:val="21426D4A"/>
    <w:rsid w:val="21637272"/>
    <w:rsid w:val="236757CC"/>
    <w:rsid w:val="279C0153"/>
    <w:rsid w:val="2C3529EE"/>
    <w:rsid w:val="2FC44243"/>
    <w:rsid w:val="31092EA8"/>
    <w:rsid w:val="33FB61AD"/>
    <w:rsid w:val="342C6BC9"/>
    <w:rsid w:val="376E6279"/>
    <w:rsid w:val="38A14340"/>
    <w:rsid w:val="3D8263F7"/>
    <w:rsid w:val="44C5770F"/>
    <w:rsid w:val="44EF71C4"/>
    <w:rsid w:val="482D6FF9"/>
    <w:rsid w:val="496140CE"/>
    <w:rsid w:val="4AE139DB"/>
    <w:rsid w:val="4BDB0A24"/>
    <w:rsid w:val="4C31315D"/>
    <w:rsid w:val="4F6D75ED"/>
    <w:rsid w:val="53A17F68"/>
    <w:rsid w:val="53DB6C22"/>
    <w:rsid w:val="5E932E93"/>
    <w:rsid w:val="5FA4498B"/>
    <w:rsid w:val="61130716"/>
    <w:rsid w:val="61143219"/>
    <w:rsid w:val="61707CCC"/>
    <w:rsid w:val="626B6216"/>
    <w:rsid w:val="67CF5844"/>
    <w:rsid w:val="69D01878"/>
    <w:rsid w:val="6A1F4430"/>
    <w:rsid w:val="6DD05A39"/>
    <w:rsid w:val="6EC6360F"/>
    <w:rsid w:val="713118C3"/>
    <w:rsid w:val="71C02C3F"/>
    <w:rsid w:val="72BB5C94"/>
    <w:rsid w:val="732B3BA9"/>
    <w:rsid w:val="7AF0174A"/>
    <w:rsid w:val="7C6F2CF1"/>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styleId="4">
    <w:name w:val="Body Text"/>
    <w:basedOn w:val="1"/>
    <w:next w:val="1"/>
    <w:qFormat/>
    <w:uiPriority w:val="1"/>
    <w:rPr>
      <w:rFonts w:ascii="宋体" w:hAnsi="宋体" w:cs="宋体"/>
      <w:sz w:val="24"/>
      <w:szCs w:val="24"/>
      <w:lang w:val="zh-CN" w:bidi="zh-CN"/>
    </w:rPr>
  </w:style>
  <w:style w:type="paragraph" w:styleId="5">
    <w:name w:val="Body Text Indent"/>
    <w:basedOn w:val="1"/>
    <w:qFormat/>
    <w:uiPriority w:val="99"/>
    <w:pPr>
      <w:spacing w:line="700" w:lineRule="exact"/>
      <w:ind w:left="960"/>
    </w:pPr>
    <w:rPr>
      <w:sz w:val="44"/>
    </w:rPr>
  </w:style>
  <w:style w:type="paragraph" w:styleId="6">
    <w:name w:val="Date"/>
    <w:basedOn w:val="1"/>
    <w:next w:val="1"/>
    <w:qFormat/>
    <w:uiPriority w:val="0"/>
    <w:rPr>
      <w:sz w:val="28"/>
    </w:rPr>
  </w:style>
  <w:style w:type="paragraph" w:styleId="7">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8">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w:basedOn w:val="4"/>
    <w:next w:val="11"/>
    <w:qFormat/>
    <w:uiPriority w:val="0"/>
    <w:pPr>
      <w:spacing w:line="360" w:lineRule="auto"/>
      <w:ind w:firstLine="420"/>
    </w:pPr>
    <w:rPr>
      <w:rFonts w:ascii="宋体" w:hAnsi="宋体"/>
      <w:sz w:val="24"/>
    </w:rPr>
  </w:style>
  <w:style w:type="paragraph" w:styleId="11">
    <w:name w:val="Body Text First Indent 2"/>
    <w:basedOn w:val="5"/>
    <w:qFormat/>
    <w:uiPriority w:val="0"/>
    <w:pPr>
      <w:spacing w:after="120" w:afterLines="0" w:line="240" w:lineRule="auto"/>
      <w:ind w:left="420" w:leftChars="200"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paragraph" w:customStyle="1" w:styleId="16">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7">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18">
    <w:name w:val="font91"/>
    <w:basedOn w:val="14"/>
    <w:qFormat/>
    <w:uiPriority w:val="0"/>
    <w:rPr>
      <w:rFonts w:ascii="楷体" w:hAnsi="楷体" w:eastAsia="楷体" w:cs="楷体"/>
      <w:color w:val="000000"/>
      <w:sz w:val="22"/>
      <w:szCs w:val="22"/>
      <w:u w:val="none"/>
      <w:vertAlign w:val="superscript"/>
    </w:rPr>
  </w:style>
  <w:style w:type="character" w:customStyle="1" w:styleId="19">
    <w:name w:val="font21"/>
    <w:basedOn w:val="14"/>
    <w:qFormat/>
    <w:uiPriority w:val="0"/>
    <w:rPr>
      <w:rFonts w:hint="eastAsia" w:ascii="仿宋" w:hAnsi="仿宋" w:eastAsia="仿宋" w:cs="仿宋"/>
      <w:b/>
      <w:bCs/>
      <w:color w:val="000000"/>
      <w:sz w:val="24"/>
      <w:szCs w:val="24"/>
      <w:u w:val="none"/>
    </w:rPr>
  </w:style>
  <w:style w:type="paragraph" w:customStyle="1" w:styleId="20">
    <w:name w:val="BodyText"/>
    <w:basedOn w:val="1"/>
    <w:next w:val="21"/>
    <w:qFormat/>
    <w:uiPriority w:val="0"/>
    <w:pPr>
      <w:jc w:val="both"/>
      <w:textAlignment w:val="baseline"/>
    </w:pPr>
    <w:rPr>
      <w:rFonts w:ascii="仿宋_GB2312" w:eastAsia="仿宋_GB2312"/>
      <w:kern w:val="2"/>
      <w:sz w:val="32"/>
      <w:lang w:val="en-US" w:eastAsia="zh-CN" w:bidi="ar-SA"/>
    </w:rPr>
  </w:style>
  <w:style w:type="paragraph" w:customStyle="1" w:styleId="21">
    <w:name w:val="BodyTextIndent"/>
    <w:basedOn w:val="1"/>
    <w:qFormat/>
    <w:uiPriority w:val="0"/>
    <w:pPr>
      <w:spacing w:line="700" w:lineRule="exact"/>
      <w:ind w:left="960"/>
      <w:jc w:val="both"/>
      <w:textAlignment w:val="baseline"/>
    </w:pPr>
    <w:rPr>
      <w:kern w:val="2"/>
      <w:sz w:val="44"/>
      <w:lang w:val="en-US" w:eastAsia="zh-CN" w:bidi="ar-SA"/>
    </w:rPr>
  </w:style>
  <w:style w:type="paragraph"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1896</Words>
  <Characters>1945</Characters>
  <Lines>0</Lines>
  <Paragraphs>0</Paragraphs>
  <TotalTime>0</TotalTime>
  <ScaleCrop>false</ScaleCrop>
  <LinksUpToDate>false</LinksUpToDate>
  <CharactersWithSpaces>2483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cp:lastModifiedBy>
  <cp:lastPrinted>2024-01-02T09:12:00Z</cp:lastPrinted>
  <dcterms:modified xsi:type="dcterms:W3CDTF">2024-06-04T03:26:02Z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4E6D860826E94096A435A313CAD0E06D</vt:lpwstr>
  </property>
</Properties>
</file>