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w:t>
      </w:r>
      <w:bookmarkStart w:id="10" w:name="_GoBack"/>
      <w:bookmarkEnd w:id="10"/>
      <w:r>
        <w:rPr>
          <w:rFonts w:hint="eastAsia"/>
          <w:sz w:val="44"/>
          <w:szCs w:val="44"/>
          <w:lang w:val="en-US" w:eastAsia="zh-CN"/>
        </w:rPr>
        <w:t>公务车加油供应商比选（第二次）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5"/>
        <w:tblW w:w="476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3"/>
        <w:gridCol w:w="2131"/>
        <w:gridCol w:w="1302"/>
        <w:gridCol w:w="5169"/>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34"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93"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2749"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34"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柴油</w:t>
            </w:r>
          </w:p>
        </w:tc>
        <w:tc>
          <w:tcPr>
            <w:tcW w:w="693"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升</w:t>
            </w:r>
          </w:p>
        </w:tc>
        <w:tc>
          <w:tcPr>
            <w:tcW w:w="2749"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按当期重庆市发改委指导价降0.5元/升</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50A057A3">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34" w:type="pct"/>
            <w:vAlign w:val="center"/>
          </w:tcPr>
          <w:p w14:paraId="21FF4396">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92号汽油</w:t>
            </w:r>
          </w:p>
        </w:tc>
        <w:tc>
          <w:tcPr>
            <w:tcW w:w="693"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升</w:t>
            </w:r>
          </w:p>
        </w:tc>
        <w:tc>
          <w:tcPr>
            <w:tcW w:w="2749"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按当期重庆市发改委指导价降0.3元/升</w:t>
            </w:r>
          </w:p>
        </w:tc>
      </w:tr>
      <w:tr w14:paraId="5982A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12DC8DA3">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34" w:type="pct"/>
            <w:vAlign w:val="center"/>
          </w:tcPr>
          <w:p w14:paraId="050218E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95号汽油</w:t>
            </w:r>
          </w:p>
        </w:tc>
        <w:tc>
          <w:tcPr>
            <w:tcW w:w="693" w:type="pct"/>
            <w:vAlign w:val="center"/>
          </w:tcPr>
          <w:p w14:paraId="39B504D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升</w:t>
            </w:r>
          </w:p>
        </w:tc>
        <w:tc>
          <w:tcPr>
            <w:tcW w:w="2749" w:type="pct"/>
            <w:vAlign w:val="center"/>
          </w:tcPr>
          <w:p w14:paraId="2CBEE28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按当期重庆市发改委指导价降0.3元/升</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4"/>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目前年均加油总费用20万左右，以实际用量据实结算。</w:t>
            </w:r>
          </w:p>
        </w:tc>
      </w:tr>
    </w:tbl>
    <w:p w14:paraId="5FF4D2DE">
      <w:pPr>
        <w:pStyle w:val="27"/>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7886D2B7">
      <w:pPr>
        <w:pStyle w:val="11"/>
        <w:keepNext w:val="0"/>
        <w:keepLines w:val="0"/>
        <w:widowControl/>
        <w:suppressLineNumbers w:val="0"/>
        <w:wordWrap w:val="0"/>
        <w:spacing w:before="0" w:beforeAutospacing="0" w:after="0" w:afterAutospacing="0"/>
        <w:ind w:left="0" w:leftChars="0" w:right="0" w:firstLine="640" w:firstLineChars="200"/>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r>
        <w:rPr>
          <w:rFonts w:hint="default" w:ascii="方正仿宋_GBK" w:hAnsi="方正仿宋_GBK" w:eastAsia="方正仿宋_GBK" w:cs="方正仿宋_GBK"/>
          <w:color w:val="auto"/>
          <w:kern w:val="2"/>
          <w:sz w:val="32"/>
          <w:szCs w:val="32"/>
          <w:lang w:val="en-US" w:eastAsia="zh-CN" w:bidi="ar-SA"/>
        </w:rPr>
        <w:t>提供</w:t>
      </w:r>
      <w:r>
        <w:rPr>
          <w:rFonts w:hint="eastAsia" w:ascii="方正仿宋_GBK" w:hAnsi="方正仿宋_GBK" w:eastAsia="方正仿宋_GBK" w:cs="方正仿宋_GBK"/>
          <w:sz w:val="28"/>
          <w:szCs w:val="28"/>
          <w:lang w:val="en-US" w:eastAsia="zh-CN"/>
        </w:rPr>
        <w:t>柴油、</w:t>
      </w:r>
      <w:r>
        <w:rPr>
          <w:rFonts w:hint="default" w:ascii="方正仿宋_GBK" w:hAnsi="方正仿宋_GBK" w:eastAsia="方正仿宋_GBK" w:cs="方正仿宋_GBK"/>
          <w:color w:val="auto"/>
          <w:kern w:val="2"/>
          <w:sz w:val="32"/>
          <w:szCs w:val="32"/>
          <w:lang w:val="en-US" w:eastAsia="zh-CN" w:bidi="ar-SA"/>
        </w:rPr>
        <w:t>92</w:t>
      </w:r>
      <w:r>
        <w:rPr>
          <w:rFonts w:hint="eastAsia" w:ascii="方正仿宋_GBK" w:hAnsi="方正仿宋_GBK" w:eastAsia="方正仿宋_GBK" w:cs="方正仿宋_GBK"/>
          <w:color w:val="auto"/>
          <w:kern w:val="2"/>
          <w:sz w:val="32"/>
          <w:szCs w:val="32"/>
          <w:lang w:val="en-US" w:eastAsia="zh-CN" w:bidi="ar-SA"/>
        </w:rPr>
        <w:t>号和</w:t>
      </w:r>
      <w:r>
        <w:rPr>
          <w:rFonts w:hint="default" w:ascii="方正仿宋_GBK" w:hAnsi="方正仿宋_GBK" w:eastAsia="方正仿宋_GBK" w:cs="方正仿宋_GBK"/>
          <w:color w:val="auto"/>
          <w:kern w:val="2"/>
          <w:sz w:val="32"/>
          <w:szCs w:val="32"/>
          <w:lang w:val="en-US" w:eastAsia="zh-CN" w:bidi="ar-SA"/>
        </w:rPr>
        <w:t>95</w:t>
      </w:r>
      <w:r>
        <w:rPr>
          <w:rFonts w:hint="eastAsia" w:ascii="方正仿宋_GBK" w:hAnsi="方正仿宋_GBK" w:eastAsia="方正仿宋_GBK" w:cs="方正仿宋_GBK"/>
          <w:color w:val="auto"/>
          <w:kern w:val="2"/>
          <w:sz w:val="32"/>
          <w:szCs w:val="32"/>
          <w:lang w:val="en-US" w:eastAsia="zh-CN" w:bidi="ar-SA"/>
        </w:rPr>
        <w:t>号</w:t>
      </w:r>
      <w:r>
        <w:rPr>
          <w:rFonts w:hint="default" w:ascii="方正仿宋_GBK" w:hAnsi="方正仿宋_GBK" w:eastAsia="方正仿宋_GBK" w:cs="方正仿宋_GBK"/>
          <w:color w:val="auto"/>
          <w:kern w:val="2"/>
          <w:sz w:val="32"/>
          <w:szCs w:val="32"/>
          <w:lang w:val="en-US" w:eastAsia="zh-CN" w:bidi="ar-SA"/>
        </w:rPr>
        <w:t>汽油，油品符合国VI标准</w:t>
      </w:r>
      <w:r>
        <w:rPr>
          <w:rFonts w:hint="eastAsia" w:ascii="方正仿宋_GBK" w:hAnsi="方正仿宋_GBK" w:eastAsia="方正仿宋_GBK" w:cs="方正仿宋_GBK"/>
          <w:color w:val="auto"/>
          <w:kern w:val="2"/>
          <w:sz w:val="32"/>
          <w:szCs w:val="32"/>
          <w:lang w:val="en-US" w:eastAsia="zh-CN" w:bidi="ar-SA"/>
        </w:rPr>
        <w:t>（如在合同期限有最新标准，按照国家油品最新标准执行）</w:t>
      </w:r>
      <w:r>
        <w:rPr>
          <w:rFonts w:hint="default" w:ascii="方正仿宋_GBK" w:hAnsi="方正仿宋_GBK" w:eastAsia="方正仿宋_GBK" w:cs="方正仿宋_GBK"/>
          <w:color w:val="auto"/>
          <w:kern w:val="2"/>
          <w:sz w:val="32"/>
          <w:szCs w:val="32"/>
          <w:lang w:val="en-US" w:eastAsia="zh-CN" w:bidi="ar-SA"/>
        </w:rPr>
        <w:t>；</w:t>
      </w:r>
    </w:p>
    <w:p w14:paraId="3E44E243">
      <w:pPr>
        <w:pStyle w:val="11"/>
        <w:keepNext w:val="0"/>
        <w:keepLines w:val="0"/>
        <w:widowControl/>
        <w:suppressLineNumbers w:val="0"/>
        <w:wordWrap w:val="0"/>
        <w:spacing w:before="0" w:beforeAutospacing="0" w:after="0" w:afterAutospacing="0"/>
        <w:ind w:left="0" w:leftChars="0" w:right="0"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w:t>
      </w:r>
      <w:r>
        <w:rPr>
          <w:rFonts w:hint="default" w:ascii="方正仿宋_GBK" w:hAnsi="方正仿宋_GBK" w:eastAsia="方正仿宋_GBK" w:cs="方正仿宋_GBK"/>
          <w:color w:val="auto"/>
          <w:kern w:val="2"/>
          <w:sz w:val="32"/>
          <w:szCs w:val="32"/>
          <w:lang w:val="en-US" w:eastAsia="zh-CN" w:bidi="ar-SA"/>
        </w:rPr>
        <w:t>支持“一车一卡”管理，实时传输加油数据至单位监管平台</w:t>
      </w:r>
      <w:r>
        <w:rPr>
          <w:rFonts w:hint="eastAsia" w:ascii="方正仿宋_GBK" w:hAnsi="方正仿宋_GBK" w:eastAsia="方正仿宋_GBK" w:cs="方正仿宋_GBK"/>
          <w:color w:val="auto"/>
          <w:kern w:val="2"/>
          <w:sz w:val="32"/>
          <w:szCs w:val="32"/>
          <w:lang w:val="en-US" w:eastAsia="zh-CN" w:bidi="ar-SA"/>
        </w:rPr>
        <w:t>；</w:t>
      </w:r>
    </w:p>
    <w:p w14:paraId="3EB1C48A">
      <w:pPr>
        <w:pStyle w:val="11"/>
        <w:keepNext w:val="0"/>
        <w:keepLines w:val="0"/>
        <w:widowControl/>
        <w:suppressLineNumbers w:val="0"/>
        <w:wordWrap w:val="0"/>
        <w:spacing w:before="0" w:beforeAutospacing="0" w:after="0" w:afterAutospacing="0"/>
        <w:ind w:left="0" w:leftChars="0" w:right="0"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3.定期提供更新的油品检验检测报告。</w:t>
      </w:r>
    </w:p>
    <w:p w14:paraId="036A59E1">
      <w:pPr>
        <w:pStyle w:val="11"/>
        <w:keepNext w:val="0"/>
        <w:keepLines w:val="0"/>
        <w:widowControl/>
        <w:suppressLineNumbers w:val="0"/>
        <w:wordWrap w:val="0"/>
        <w:spacing w:before="0" w:beforeAutospacing="0" w:after="0" w:afterAutospacing="0"/>
        <w:ind w:left="0" w:leftChars="0" w:right="0" w:firstLine="640" w:firstLineChars="200"/>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4.公司内部的投诉处理制度，投诉处理</w:t>
      </w:r>
      <w:r>
        <w:rPr>
          <w:rFonts w:hint="default" w:ascii="方正仿宋_GBK" w:hAnsi="方正仿宋_GBK" w:eastAsia="方正仿宋_GBK" w:cs="方正仿宋_GBK"/>
          <w:color w:val="auto"/>
          <w:kern w:val="2"/>
          <w:sz w:val="32"/>
          <w:szCs w:val="32"/>
          <w:lang w:val="en-US" w:eastAsia="zh-CN" w:bidi="ar-SA"/>
        </w:rPr>
        <w:t>响应时间≤2小时，解决率100%。</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pStyle w:val="11"/>
        <w:keepNext w:val="0"/>
        <w:keepLines w:val="0"/>
        <w:widowControl/>
        <w:suppressLineNumbers w:val="0"/>
        <w:wordWrap w:val="0"/>
        <w:spacing w:before="0" w:beforeAutospacing="0" w:after="0" w:afterAutospacing="0"/>
        <w:ind w:left="0" w:right="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kern w:val="2"/>
          <w:sz w:val="32"/>
          <w:szCs w:val="32"/>
          <w:lang w:val="en-US" w:eastAsia="zh-CN" w:bidi="ar-SA"/>
        </w:rPr>
        <w:t>成品油经营许可</w:t>
      </w:r>
      <w:r>
        <w:rPr>
          <w:rFonts w:hint="default" w:ascii="方正仿宋_GBK" w:hAnsi="方正仿宋_GBK" w:eastAsia="方正仿宋_GBK" w:cs="方正仿宋_GBK"/>
          <w:sz w:val="32"/>
          <w:szCs w:val="32"/>
          <w:lang w:val="en-US" w:eastAsia="zh-CN"/>
        </w:rPr>
        <w:t>证</w:t>
      </w:r>
      <w:r>
        <w:rPr>
          <w:rFonts w:hint="eastAsia" w:ascii="方正仿宋_GBK" w:hAnsi="方正仿宋_GBK" w:eastAsia="方正仿宋_GBK" w:cs="方正仿宋_GBK"/>
          <w:sz w:val="32"/>
          <w:szCs w:val="32"/>
          <w:lang w:val="en-US" w:eastAsia="zh-CN"/>
        </w:rPr>
        <w:t>、消防安全认证等资料，</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2.项目最高限价和报价要求</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w:t>
      </w:r>
      <w:r>
        <w:rPr>
          <w:rFonts w:hint="default" w:ascii="方正仿宋_GBK" w:hAnsi="方正仿宋_GBK" w:eastAsia="方正仿宋_GBK" w:cs="方正仿宋_GBK"/>
          <w:color w:val="auto"/>
          <w:kern w:val="0"/>
          <w:sz w:val="32"/>
          <w:szCs w:val="32"/>
          <w:lang w:val="en-US" w:eastAsia="zh-CN"/>
        </w:rPr>
        <w:t>按</w:t>
      </w:r>
      <w:r>
        <w:rPr>
          <w:rFonts w:hint="eastAsia" w:ascii="方正仿宋_GBK" w:hAnsi="方正仿宋_GBK" w:eastAsia="方正仿宋_GBK" w:cs="方正仿宋_GBK"/>
          <w:color w:val="auto"/>
          <w:kern w:val="0"/>
          <w:sz w:val="32"/>
          <w:szCs w:val="32"/>
          <w:lang w:val="en-US" w:eastAsia="zh-CN"/>
        </w:rPr>
        <w:t>重庆市</w:t>
      </w:r>
      <w:r>
        <w:rPr>
          <w:rFonts w:hint="default" w:ascii="方正仿宋_GBK" w:hAnsi="方正仿宋_GBK" w:eastAsia="方正仿宋_GBK" w:cs="方正仿宋_GBK"/>
          <w:color w:val="auto"/>
          <w:kern w:val="0"/>
          <w:sz w:val="32"/>
          <w:szCs w:val="32"/>
          <w:lang w:val="en-US" w:eastAsia="zh-CN"/>
        </w:rPr>
        <w:t>发改委成品油指导价</w:t>
      </w:r>
      <w:r>
        <w:rPr>
          <w:rFonts w:hint="eastAsia" w:ascii="方正仿宋_GBK" w:hAnsi="方正仿宋_GBK" w:eastAsia="方正仿宋_GBK" w:cs="方正仿宋_GBK"/>
          <w:color w:val="auto"/>
          <w:kern w:val="0"/>
          <w:sz w:val="32"/>
          <w:szCs w:val="32"/>
          <w:lang w:val="en-US" w:eastAsia="zh-CN"/>
        </w:rPr>
        <w:t>柴油优惠0.5元/升，92号和95号汽油优惠0.3元/升。该限价是结合加油当时重庆市发改委成品油指导价的基础上进行优惠，限价包括：货款、定期检测费、服务费、税费、资料装订及邮寄费等完成本项目所需的一切费用。本项目供应商以上述限价按照总折扣率进行报价（所有项目都执行一个折扣率），如当期92号汽油重庆市发改委指导价为7.5元/升，限价为7.2元/升（7.5元/升-0.3元/升），供应商报送折扣为90%，则92号汽油成交价为6.48元/升（7.2元/升*90%），柴油和95号汽油按相同折扣率计算。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单价合同期限1年，成交供应商在接到成交通知后20日内与采购人签订采购合同和廉政购销协议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及联系方式，不得实施商业贿赂等不良行为。合同签订前，供应商应提供产品合法来源的厂家或代理商授权。</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4.结算</w:t>
      </w:r>
      <w:r>
        <w:rPr>
          <w:rFonts w:hint="eastAsia" w:ascii="方正仿宋_GBK" w:hAnsi="方正仿宋_GBK" w:eastAsia="方正仿宋_GBK" w:cs="方正仿宋_GBK"/>
          <w:b/>
          <w:bCs/>
          <w:color w:val="auto"/>
          <w:sz w:val="32"/>
          <w:szCs w:val="32"/>
        </w:rPr>
        <w:t>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采用先用后付方式，按实际加油量每月结算，付款时供应商须提交全额发票、公务车驾驶员签字确认的加油记录（公里数和加油量）。</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3D7D81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1.供应商定期提供第三方油品检验合格证明最新报告。</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2.合同执行期间任何时间，采购人如对油品质量有疑异，有权委托第三方机构对油品质量进行1次抽检，检验费用由中选供应商承担。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5129B4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（1）保密约定：对采购人用油数据进行保密，未经采购人允许和司法等部门凭合法手续调取不得泄漏该数据；</w:t>
      </w:r>
      <w:r>
        <w:rPr>
          <w:rFonts w:hint="default" w:ascii="方正仿宋_GBK" w:hAnsi="方正仿宋_GBK" w:eastAsia="方正仿宋_GBK" w:cs="方正仿宋_GBK"/>
          <w:color w:val="auto"/>
          <w:kern w:val="0"/>
          <w:sz w:val="32"/>
          <w:szCs w:val="32"/>
          <w:lang w:eastAsia="zh-CN"/>
        </w:rPr>
        <w:t>驾驶员对私车加油纳入公车报销应向采购人举报；</w:t>
      </w:r>
    </w:p>
    <w:p w14:paraId="2E88E89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default" w:ascii="方正仿宋_GBK" w:hAnsi="方正仿宋_GBK" w:eastAsia="方正仿宋_GBK" w:cs="方正仿宋_GBK"/>
          <w:color w:val="auto"/>
          <w:kern w:val="0"/>
          <w:sz w:val="32"/>
          <w:szCs w:val="32"/>
          <w:lang w:eastAsia="zh-CN"/>
        </w:rPr>
        <w:t>（2）加油期间</w:t>
      </w:r>
      <w:r>
        <w:rPr>
          <w:rFonts w:hint="eastAsia" w:ascii="方正仿宋_GBK" w:hAnsi="方正仿宋_GBK" w:eastAsia="方正仿宋_GBK" w:cs="方正仿宋_GBK"/>
          <w:color w:val="auto"/>
          <w:kern w:val="0"/>
          <w:sz w:val="32"/>
          <w:szCs w:val="32"/>
          <w:lang w:val="en-US" w:eastAsia="zh-CN"/>
        </w:rPr>
        <w:t>为驾驶员提供必要的帮助；</w:t>
      </w:r>
    </w:p>
    <w:p w14:paraId="462FF6D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eastAsia="zh-CN"/>
        </w:rPr>
        <w:t>3</w:t>
      </w:r>
      <w:r>
        <w:rPr>
          <w:rFonts w:hint="eastAsia" w:ascii="方正仿宋_GBK" w:hAnsi="方正仿宋_GBK" w:eastAsia="方正仿宋_GBK" w:cs="方正仿宋_GBK"/>
          <w:color w:val="auto"/>
          <w:kern w:val="0"/>
          <w:sz w:val="32"/>
          <w:szCs w:val="32"/>
          <w:lang w:val="en-US" w:eastAsia="zh-CN"/>
        </w:rPr>
        <w:t>）响应时间：优先保障采购人车辆加油服务，救护车到达加油站后5分钟完成加油服务，其他车辆10分钟内完成加油服务；</w:t>
      </w:r>
    </w:p>
    <w:p w14:paraId="0886F35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eastAsia="zh-CN"/>
        </w:rPr>
        <w:t>4</w:t>
      </w:r>
      <w:r>
        <w:rPr>
          <w:rFonts w:hint="eastAsia" w:ascii="方正仿宋_GBK" w:hAnsi="方正仿宋_GBK" w:eastAsia="方正仿宋_GBK" w:cs="方正仿宋_GBK"/>
          <w:color w:val="auto"/>
          <w:kern w:val="0"/>
          <w:sz w:val="32"/>
          <w:szCs w:val="32"/>
          <w:lang w:val="en-US" w:eastAsia="zh-CN"/>
        </w:rPr>
        <w:t>）特殊时期（灾害事故期间）保障采购人车辆供油；</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6"/>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供应商加油前明知油品存在缺陷仍继续交付或交付后知晓缺陷未及时通知采购人并采取措施整改，采购人有权解除合同并要求供应商承担项目总金额3倍的违约金；因供应商</w:t>
      </w:r>
      <w:r>
        <w:rPr>
          <w:rFonts w:hint="default" w:ascii="方正仿宋_GBK" w:hAnsi="方正仿宋_GBK" w:eastAsia="方正仿宋_GBK" w:cs="方正仿宋_GBK"/>
          <w:b w:val="0"/>
          <w:bCs w:val="0"/>
          <w:color w:val="auto"/>
          <w:kern w:val="0"/>
          <w:sz w:val="32"/>
          <w:szCs w:val="32"/>
          <w:lang w:eastAsia="zh-CN"/>
        </w:rPr>
        <w:t>违约行为</w:t>
      </w:r>
      <w:r>
        <w:rPr>
          <w:rFonts w:hint="eastAsia" w:ascii="方正仿宋_GBK" w:hAnsi="方正仿宋_GBK" w:eastAsia="方正仿宋_GBK" w:cs="方正仿宋_GBK"/>
          <w:b w:val="0"/>
          <w:bCs w:val="0"/>
          <w:color w:val="auto"/>
          <w:kern w:val="0"/>
          <w:sz w:val="32"/>
          <w:szCs w:val="32"/>
          <w:lang w:val="en-US" w:eastAsia="zh-CN"/>
        </w:rPr>
        <w:t>及其产品</w:t>
      </w:r>
      <w:r>
        <w:rPr>
          <w:rFonts w:hint="default" w:ascii="方正仿宋_GBK" w:hAnsi="方正仿宋_GBK" w:eastAsia="方正仿宋_GBK" w:cs="方正仿宋_GBK"/>
          <w:b w:val="0"/>
          <w:bCs w:val="0"/>
          <w:color w:val="auto"/>
          <w:kern w:val="0"/>
          <w:sz w:val="32"/>
          <w:szCs w:val="32"/>
          <w:lang w:eastAsia="zh-CN"/>
        </w:rPr>
        <w:t>质量</w:t>
      </w:r>
      <w:r>
        <w:rPr>
          <w:rFonts w:hint="eastAsia" w:ascii="方正仿宋_GBK" w:hAnsi="方正仿宋_GBK" w:eastAsia="方正仿宋_GBK" w:cs="方正仿宋_GBK"/>
          <w:b w:val="0"/>
          <w:bCs w:val="0"/>
          <w:color w:val="auto"/>
          <w:kern w:val="0"/>
          <w:sz w:val="32"/>
          <w:szCs w:val="32"/>
          <w:lang w:val="en-US" w:eastAsia="zh-CN"/>
        </w:rPr>
        <w:t>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供应商在合同期内连续发生2次违约行为；供应商及其产品出现不良事件；供应商廉洁违纪行为；供应商主动放弃；后期加油服务纳入框架协议管理等</w:t>
      </w:r>
    </w:p>
    <w:p w14:paraId="3D45D7E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11.评选方法</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地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采购人评审小组认为供应商的报价明显低于其他通过符合性审查供应商的报价，有可能影响产品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1、资格性审查。依据法律法规和采购文件的规定，对响应文件中的资格证明等进行审查，以确定供应商是否具备竞采资格。资格性审查资料表如下：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zh-CN" w:eastAsia="zh-CN"/>
              </w:rPr>
            </w:pPr>
            <w:r>
              <w:rPr>
                <w:rFonts w:hint="eastAsia" w:ascii="方正仿宋_GBK" w:hAnsi="方正仿宋_GBK" w:eastAsia="方正仿宋_GBK" w:cs="方正仿宋_GBK"/>
                <w:b w:val="0"/>
                <w:bCs w:val="0"/>
                <w:color w:val="auto"/>
                <w:kern w:val="0"/>
                <w:sz w:val="32"/>
                <w:szCs w:val="32"/>
                <w:lang w:val="en-US" w:eastAsia="zh-CN"/>
              </w:rPr>
              <w:t>响应</w:t>
            </w:r>
            <w:r>
              <w:rPr>
                <w:rFonts w:hint="eastAsia" w:ascii="方正仿宋_GBK" w:hAnsi="方正仿宋_GBK" w:eastAsia="方正仿宋_GBK" w:cs="方正仿宋_GBK"/>
                <w:b w:val="0"/>
                <w:bCs w:val="0"/>
                <w:color w:val="auto"/>
                <w:kern w:val="0"/>
                <w:sz w:val="32"/>
                <w:szCs w:val="32"/>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zh-CN" w:eastAsia="zh-CN"/>
              </w:rPr>
              <w:t>只能有一个</w:t>
            </w:r>
            <w:r>
              <w:rPr>
                <w:rFonts w:hint="eastAsia" w:ascii="方正仿宋_GBK" w:hAnsi="方正仿宋_GBK" w:eastAsia="方正仿宋_GBK" w:cs="方正仿宋_GBK"/>
                <w:b w:val="0"/>
                <w:bCs w:val="0"/>
                <w:color w:val="auto"/>
                <w:kern w:val="0"/>
                <w:sz w:val="32"/>
                <w:szCs w:val="32"/>
                <w:lang w:val="en-US" w:eastAsia="zh-CN"/>
              </w:rPr>
              <w:t>响应</w:t>
            </w:r>
            <w:r>
              <w:rPr>
                <w:rFonts w:hint="eastAsia" w:ascii="方正仿宋_GBK" w:hAnsi="方正仿宋_GBK" w:eastAsia="方正仿宋_GBK" w:cs="方正仿宋_GBK"/>
                <w:b w:val="0"/>
                <w:bCs w:val="0"/>
                <w:color w:val="auto"/>
                <w:kern w:val="0"/>
                <w:sz w:val="32"/>
                <w:szCs w:val="32"/>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zh-CN" w:eastAsia="zh-CN"/>
              </w:rPr>
            </w:pPr>
            <w:r>
              <w:rPr>
                <w:rFonts w:hint="eastAsia" w:ascii="方正仿宋_GBK" w:hAnsi="方正仿宋_GBK" w:eastAsia="方正仿宋_GBK" w:cs="方正仿宋_GBK"/>
                <w:b w:val="0"/>
                <w:bCs w:val="0"/>
                <w:color w:val="auto"/>
                <w:kern w:val="0"/>
                <w:sz w:val="32"/>
                <w:szCs w:val="32"/>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zh-CN" w:eastAsia="zh-CN"/>
              </w:rPr>
            </w:pPr>
            <w:r>
              <w:rPr>
                <w:rFonts w:hint="eastAsia" w:ascii="方正仿宋_GBK" w:hAnsi="方正仿宋_GBK" w:eastAsia="方正仿宋_GBK" w:cs="方正仿宋_GBK"/>
                <w:b w:val="0"/>
                <w:bCs w:val="0"/>
                <w:color w:val="auto"/>
                <w:kern w:val="0"/>
                <w:sz w:val="32"/>
                <w:szCs w:val="32"/>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zh-CN" w:eastAsia="zh-CN"/>
              </w:rPr>
              <w:t>对采购文件“</w:t>
            </w:r>
            <w:r>
              <w:rPr>
                <w:rFonts w:hint="eastAsia" w:ascii="方正仿宋_GBK" w:hAnsi="方正仿宋_GBK" w:eastAsia="方正仿宋_GBK" w:cs="方正仿宋_GBK"/>
                <w:b w:val="0"/>
                <w:bCs w:val="0"/>
                <w:color w:val="auto"/>
                <w:kern w:val="0"/>
                <w:sz w:val="32"/>
                <w:szCs w:val="32"/>
                <w:lang w:val="en-US" w:eastAsia="zh-CN"/>
              </w:rPr>
              <w:t>服务要求</w:t>
            </w:r>
            <w:r>
              <w:rPr>
                <w:rFonts w:hint="eastAsia" w:ascii="方正仿宋_GBK" w:hAnsi="方正仿宋_GBK" w:eastAsia="方正仿宋_GBK" w:cs="方正仿宋_GBK"/>
                <w:b w:val="0"/>
                <w:bCs w:val="0"/>
                <w:color w:val="auto"/>
                <w:kern w:val="0"/>
                <w:sz w:val="32"/>
                <w:szCs w:val="32"/>
                <w:lang w:val="zh-CN" w:eastAsia="zh-CN"/>
              </w:rPr>
              <w:t>”和“商务要求”</w:t>
            </w:r>
            <w:r>
              <w:rPr>
                <w:rFonts w:hint="eastAsia" w:ascii="方正仿宋_GBK" w:hAnsi="方正仿宋_GBK" w:eastAsia="方正仿宋_GBK" w:cs="方正仿宋_GBK"/>
                <w:b w:val="0"/>
                <w:bCs w:val="0"/>
                <w:color w:val="auto"/>
                <w:kern w:val="0"/>
                <w:sz w:val="32"/>
                <w:szCs w:val="32"/>
                <w:lang w:val="en-US" w:eastAsia="zh-CN"/>
              </w:rPr>
              <w:t>中的内容进行实质响应</w:t>
            </w:r>
            <w:r>
              <w:rPr>
                <w:rFonts w:hint="eastAsia" w:ascii="方正仿宋_GBK" w:hAnsi="方正仿宋_GBK" w:eastAsia="方正仿宋_GBK" w:cs="方正仿宋_GBK"/>
                <w:b w:val="0"/>
                <w:bCs w:val="0"/>
                <w:color w:val="auto"/>
                <w:kern w:val="0"/>
                <w:sz w:val="32"/>
                <w:szCs w:val="32"/>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满足采购文件</w:t>
            </w:r>
            <w:r>
              <w:rPr>
                <w:rFonts w:hint="eastAsia" w:ascii="方正仿宋_GBK" w:hAnsi="方正仿宋_GBK" w:eastAsia="方正仿宋_GBK" w:cs="方正仿宋_GBK"/>
                <w:b w:val="0"/>
                <w:bCs w:val="0"/>
                <w:color w:val="auto"/>
                <w:kern w:val="0"/>
                <w:sz w:val="32"/>
                <w:szCs w:val="32"/>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bookmarkStart w:id="0" w:name="_Toc10821"/>
      <w:bookmarkStart w:id="1" w:name="_Toc22056"/>
      <w:bookmarkStart w:id="2" w:name="_Toc30177"/>
      <w:r>
        <w:rPr>
          <w:rFonts w:hint="eastAsia" w:ascii="方正仿宋_GBK" w:hAnsi="方正仿宋_GBK" w:eastAsia="方正仿宋_GBK" w:cs="方正仿宋_GBK"/>
          <w:b/>
          <w:bCs/>
          <w:color w:val="auto"/>
          <w:kern w:val="0"/>
          <w:sz w:val="32"/>
          <w:szCs w:val="32"/>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本项目采用综合评分法进行评选。如超出投标限价、未在规定的时间内上交资料及佐证资料不齐全的为无效投标。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2459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04E7DCA9">
            <w:pPr>
              <w:spacing w:line="360" w:lineRule="auto"/>
              <w:jc w:val="center"/>
              <w:rPr>
                <w:rFonts w:ascii="宋体" w:hAnsi="宋体"/>
                <w:b/>
                <w:szCs w:val="21"/>
              </w:rPr>
            </w:pPr>
            <w:r>
              <w:rPr>
                <w:rFonts w:hint="eastAsia" w:ascii="宋体" w:hAnsi="宋体"/>
                <w:b/>
                <w:szCs w:val="21"/>
              </w:rPr>
              <w:t>评分项</w:t>
            </w:r>
          </w:p>
        </w:tc>
        <w:tc>
          <w:tcPr>
            <w:tcW w:w="916" w:type="dxa"/>
            <w:noWrap w:val="0"/>
            <w:vAlign w:val="center"/>
          </w:tcPr>
          <w:p w14:paraId="5D87F523">
            <w:pPr>
              <w:spacing w:line="360" w:lineRule="auto"/>
              <w:jc w:val="center"/>
              <w:rPr>
                <w:rFonts w:hint="eastAsia" w:ascii="宋体" w:hAnsi="宋体"/>
                <w:b/>
                <w:szCs w:val="21"/>
              </w:rPr>
            </w:pPr>
            <w:r>
              <w:rPr>
                <w:rFonts w:hint="eastAsia" w:ascii="宋体" w:hAnsi="宋体"/>
                <w:b/>
                <w:szCs w:val="21"/>
              </w:rPr>
              <w:t>分值</w:t>
            </w:r>
          </w:p>
        </w:tc>
        <w:tc>
          <w:tcPr>
            <w:tcW w:w="6787" w:type="dxa"/>
            <w:noWrap w:val="0"/>
            <w:vAlign w:val="center"/>
          </w:tcPr>
          <w:p w14:paraId="7B6D3196">
            <w:pPr>
              <w:spacing w:line="360" w:lineRule="auto"/>
              <w:jc w:val="center"/>
              <w:rPr>
                <w:rFonts w:ascii="宋体" w:hAnsi="宋体"/>
                <w:b/>
                <w:szCs w:val="21"/>
              </w:rPr>
            </w:pPr>
            <w:r>
              <w:rPr>
                <w:rFonts w:hint="eastAsia" w:ascii="宋体" w:hAnsi="宋体"/>
                <w:b/>
                <w:szCs w:val="21"/>
              </w:rPr>
              <w:t>评分准则</w:t>
            </w:r>
          </w:p>
        </w:tc>
      </w:tr>
      <w:tr w14:paraId="564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0928A9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价格部分</w:t>
            </w:r>
          </w:p>
        </w:tc>
        <w:tc>
          <w:tcPr>
            <w:tcW w:w="916" w:type="dxa"/>
            <w:noWrap w:val="0"/>
            <w:vAlign w:val="center"/>
          </w:tcPr>
          <w:p w14:paraId="0D6DEC5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40</w:t>
            </w:r>
          </w:p>
        </w:tc>
        <w:tc>
          <w:tcPr>
            <w:tcW w:w="6787" w:type="dxa"/>
            <w:noWrap w:val="0"/>
            <w:vAlign w:val="center"/>
          </w:tcPr>
          <w:p w14:paraId="1DC52CC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满足采购文件要求且报价最低的折扣率为基准价，其价格分为满分。其他供应商的价格分统一按照下列公式计算： </w:t>
            </w:r>
            <w:r>
              <w:rPr>
                <w:rFonts w:hint="eastAsia" w:ascii="方正仿宋_GBK" w:hAnsi="方正仿宋_GBK" w:eastAsia="方正仿宋_GBK" w:cs="方正仿宋_GBK"/>
                <w:b w:val="0"/>
                <w:bCs w:val="0"/>
                <w:color w:val="auto"/>
                <w:kern w:val="0"/>
                <w:sz w:val="32"/>
                <w:szCs w:val="32"/>
                <w:lang w:val="en-US" w:eastAsia="zh-CN"/>
              </w:rPr>
              <w:br w:type="textWrapping"/>
            </w:r>
            <w:r>
              <w:rPr>
                <w:rFonts w:hint="eastAsia" w:ascii="方正仿宋_GBK" w:hAnsi="方正仿宋_GBK" w:eastAsia="方正仿宋_GBK" w:cs="方正仿宋_GBK"/>
                <w:b w:val="0"/>
                <w:bCs w:val="0"/>
                <w:color w:val="auto"/>
                <w:kern w:val="0"/>
                <w:sz w:val="32"/>
                <w:szCs w:val="32"/>
                <w:lang w:val="en-US" w:eastAsia="zh-CN"/>
              </w:rPr>
              <w:t>报价得分=（基准价／供应商报价）×价格分分值</w:t>
            </w:r>
          </w:p>
          <w:p w14:paraId="530BC9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评审材料：总报价表</w:t>
            </w:r>
          </w:p>
        </w:tc>
      </w:tr>
      <w:tr w14:paraId="2EC8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restart"/>
            <w:noWrap w:val="0"/>
            <w:vAlign w:val="center"/>
          </w:tcPr>
          <w:p w14:paraId="6BA0509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服务质量</w:t>
            </w:r>
          </w:p>
        </w:tc>
        <w:tc>
          <w:tcPr>
            <w:tcW w:w="916" w:type="dxa"/>
            <w:vMerge w:val="restart"/>
            <w:noWrap w:val="0"/>
            <w:vAlign w:val="center"/>
          </w:tcPr>
          <w:p w14:paraId="1805E8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40</w:t>
            </w:r>
          </w:p>
        </w:tc>
        <w:tc>
          <w:tcPr>
            <w:tcW w:w="6787" w:type="dxa"/>
            <w:noWrap w:val="0"/>
            <w:vAlign w:val="center"/>
          </w:tcPr>
          <w:p w14:paraId="3F0C6E3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Segoe UI" w:hAnsi="Segoe UI" w:eastAsia="宋体" w:cs="Segoe UI"/>
                <w:i w:val="0"/>
                <w:iCs w:val="0"/>
                <w:caps w:val="0"/>
                <w:color w:val="404040"/>
                <w:spacing w:val="0"/>
                <w:sz w:val="24"/>
                <w:szCs w:val="24"/>
                <w:shd w:val="clear" w:fill="FFFFFF"/>
                <w:lang w:val="en-US" w:eastAsia="zh-CN"/>
              </w:rPr>
            </w:pPr>
            <w:r>
              <w:rPr>
                <w:rStyle w:val="18"/>
                <w:rFonts w:ascii="Segoe UI" w:hAnsi="Segoe UI" w:eastAsia="Segoe UI" w:cs="Segoe UI"/>
                <w:i w:val="0"/>
                <w:iCs w:val="0"/>
                <w:caps w:val="0"/>
                <w:color w:val="404040"/>
                <w:spacing w:val="0"/>
                <w:sz w:val="24"/>
                <w:szCs w:val="24"/>
                <w:shd w:val="clear" w:fill="FFFFFF"/>
              </w:rPr>
              <w:t>油品质量</w:t>
            </w:r>
            <w:r>
              <w:rPr>
                <w:rFonts w:hint="default" w:ascii="Segoe UI" w:hAnsi="Segoe UI" w:eastAsia="Segoe UI" w:cs="Segoe UI"/>
                <w:i w:val="0"/>
                <w:iCs w:val="0"/>
                <w:caps w:val="0"/>
                <w:color w:val="404040"/>
                <w:spacing w:val="0"/>
                <w:sz w:val="24"/>
                <w:szCs w:val="24"/>
                <w:shd w:val="clear" w:fill="FFFFFF"/>
              </w:rPr>
              <w:t>（15分）：符合国家</w:t>
            </w:r>
            <w:r>
              <w:rPr>
                <w:rFonts w:hint="eastAsia" w:ascii="Segoe UI" w:hAnsi="Segoe UI" w:eastAsia="宋体" w:cs="Segoe UI"/>
                <w:i w:val="0"/>
                <w:iCs w:val="0"/>
                <w:caps w:val="0"/>
                <w:color w:val="404040"/>
                <w:spacing w:val="0"/>
                <w:sz w:val="24"/>
                <w:szCs w:val="24"/>
                <w:shd w:val="clear" w:fill="FFFFFF"/>
                <w:lang w:val="en-US" w:eastAsia="zh-CN"/>
              </w:rPr>
              <w:t>最新</w:t>
            </w:r>
            <w:r>
              <w:rPr>
                <w:rFonts w:hint="default" w:ascii="Segoe UI" w:hAnsi="Segoe UI" w:eastAsia="Segoe UI" w:cs="Segoe UI"/>
                <w:i w:val="0"/>
                <w:iCs w:val="0"/>
                <w:caps w:val="0"/>
                <w:color w:val="404040"/>
                <w:spacing w:val="0"/>
                <w:sz w:val="24"/>
                <w:szCs w:val="24"/>
                <w:shd w:val="clear" w:fill="FFFFFF"/>
              </w:rPr>
              <w:t>标准</w:t>
            </w:r>
            <w:r>
              <w:rPr>
                <w:rFonts w:hint="eastAsia" w:ascii="Segoe UI" w:hAnsi="Segoe UI" w:eastAsia="宋体" w:cs="Segoe UI"/>
                <w:i w:val="0"/>
                <w:iCs w:val="0"/>
                <w:caps w:val="0"/>
                <w:color w:val="404040"/>
                <w:spacing w:val="0"/>
                <w:sz w:val="24"/>
                <w:szCs w:val="24"/>
                <w:shd w:val="clear" w:fill="FFFFFF"/>
                <w:lang w:val="en-US" w:eastAsia="zh-CN"/>
              </w:rPr>
              <w:t>的油品</w:t>
            </w:r>
            <w:r>
              <w:rPr>
                <w:rFonts w:hint="default" w:ascii="Segoe UI" w:hAnsi="Segoe UI" w:eastAsia="Segoe UI" w:cs="Segoe UI"/>
                <w:i w:val="0"/>
                <w:iCs w:val="0"/>
                <w:caps w:val="0"/>
                <w:color w:val="404040"/>
                <w:spacing w:val="0"/>
                <w:sz w:val="24"/>
                <w:szCs w:val="24"/>
                <w:shd w:val="clear" w:fill="FFFFFF"/>
              </w:rPr>
              <w:t>质检报告</w:t>
            </w:r>
            <w:r>
              <w:rPr>
                <w:rFonts w:hint="default" w:ascii="Segoe UI" w:hAnsi="Segoe UI" w:eastAsia="Segoe UI" w:cs="Segoe UI"/>
                <w:i w:val="0"/>
                <w:iCs w:val="0"/>
                <w:caps w:val="0"/>
                <w:color w:val="404040"/>
                <w:spacing w:val="0"/>
                <w:sz w:val="24"/>
                <w:szCs w:val="24"/>
                <w:highlight w:val="none"/>
                <w:shd w:val="clear" w:fill="FFFFFF"/>
              </w:rPr>
              <w:t>（如GB 17930</w:t>
            </w:r>
            <w:r>
              <w:rPr>
                <w:rFonts w:hint="eastAsia" w:ascii="Segoe UI" w:hAnsi="Segoe UI" w:eastAsia="宋体" w:cs="Segoe UI"/>
                <w:i w:val="0"/>
                <w:iCs w:val="0"/>
                <w:caps w:val="0"/>
                <w:color w:val="404040"/>
                <w:spacing w:val="0"/>
                <w:sz w:val="24"/>
                <w:szCs w:val="24"/>
                <w:highlight w:val="none"/>
                <w:shd w:val="clear" w:fill="FFFFFF"/>
                <w:lang w:val="en-US" w:eastAsia="zh-CN"/>
              </w:rPr>
              <w:t>-2016</w:t>
            </w:r>
            <w:r>
              <w:rPr>
                <w:rFonts w:hint="default" w:ascii="Segoe UI" w:hAnsi="Segoe UI" w:eastAsia="Segoe UI" w:cs="Segoe UI"/>
                <w:i w:val="0"/>
                <w:iCs w:val="0"/>
                <w:caps w:val="0"/>
                <w:color w:val="404040"/>
                <w:spacing w:val="0"/>
                <w:sz w:val="24"/>
                <w:szCs w:val="24"/>
                <w:highlight w:val="none"/>
                <w:shd w:val="clear" w:fill="FFFFFF"/>
              </w:rPr>
              <w:t>）</w:t>
            </w:r>
            <w:r>
              <w:rPr>
                <w:rFonts w:hint="default" w:ascii="Segoe UI" w:hAnsi="Segoe UI" w:eastAsia="Segoe UI" w:cs="Segoe UI"/>
                <w:i w:val="0"/>
                <w:iCs w:val="0"/>
                <w:caps w:val="0"/>
                <w:color w:val="404040"/>
                <w:spacing w:val="0"/>
                <w:sz w:val="24"/>
                <w:szCs w:val="24"/>
                <w:shd w:val="clear" w:fill="FFFFFF"/>
              </w:rPr>
              <w:t>，</w:t>
            </w:r>
            <w:r>
              <w:rPr>
                <w:rFonts w:hint="eastAsia" w:ascii="Segoe UI" w:hAnsi="Segoe UI" w:eastAsia="宋体" w:cs="Segoe UI"/>
                <w:i w:val="0"/>
                <w:iCs w:val="0"/>
                <w:caps w:val="0"/>
                <w:color w:val="404040"/>
                <w:spacing w:val="0"/>
                <w:sz w:val="24"/>
                <w:szCs w:val="24"/>
                <w:shd w:val="clear" w:fill="FFFFFF"/>
                <w:lang w:val="en-US" w:eastAsia="zh-CN"/>
              </w:rPr>
              <w:t>每月质检的得15分，每季度质检的得10份，每年质检一次的得5分，一年没质检的得0分。</w:t>
            </w:r>
          </w:p>
          <w:p w14:paraId="5CE32A4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评审材料：提供当前最新的第三方油品质检报告</w:t>
            </w:r>
          </w:p>
        </w:tc>
      </w:tr>
      <w:tr w14:paraId="18A5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60197CA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916" w:type="dxa"/>
            <w:vMerge w:val="continue"/>
            <w:noWrap w:val="0"/>
            <w:vAlign w:val="center"/>
          </w:tcPr>
          <w:p w14:paraId="69CA3CF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787" w:type="dxa"/>
            <w:noWrap w:val="0"/>
            <w:vAlign w:val="center"/>
          </w:tcPr>
          <w:p w14:paraId="7E013CE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Segoe UI" w:hAnsi="Segoe UI" w:eastAsia="Segoe UI" w:cs="Segoe UI"/>
                <w:i w:val="0"/>
                <w:iCs w:val="0"/>
                <w:caps w:val="0"/>
                <w:color w:val="404040"/>
                <w:spacing w:val="0"/>
                <w:sz w:val="24"/>
                <w:szCs w:val="24"/>
                <w:shd w:val="clear" w:fill="FFFFFF"/>
              </w:rPr>
            </w:pPr>
            <w:r>
              <w:rPr>
                <w:rStyle w:val="18"/>
                <w:rFonts w:ascii="Segoe UI" w:hAnsi="Segoe UI" w:eastAsia="Segoe UI" w:cs="Segoe UI"/>
                <w:i w:val="0"/>
                <w:iCs w:val="0"/>
                <w:caps w:val="0"/>
                <w:color w:val="404040"/>
                <w:spacing w:val="0"/>
                <w:sz w:val="24"/>
                <w:szCs w:val="24"/>
                <w:shd w:val="clear" w:fill="FFFFFF"/>
              </w:rPr>
              <w:t>站点覆盖率</w:t>
            </w:r>
            <w:r>
              <w:rPr>
                <w:rFonts w:hint="default" w:ascii="Segoe UI" w:hAnsi="Segoe UI" w:eastAsia="Segoe UI" w:cs="Segoe UI"/>
                <w:i w:val="0"/>
                <w:iCs w:val="0"/>
                <w:caps w:val="0"/>
                <w:color w:val="404040"/>
                <w:spacing w:val="0"/>
                <w:sz w:val="24"/>
                <w:szCs w:val="24"/>
                <w:shd w:val="clear" w:fill="FFFFFF"/>
              </w:rPr>
              <w:t>（</w:t>
            </w:r>
            <w:r>
              <w:rPr>
                <w:rFonts w:hint="eastAsia" w:ascii="Segoe UI" w:hAnsi="Segoe UI" w:eastAsia="宋体" w:cs="Segoe UI"/>
                <w:i w:val="0"/>
                <w:iCs w:val="0"/>
                <w:caps w:val="0"/>
                <w:color w:val="404040"/>
                <w:spacing w:val="0"/>
                <w:sz w:val="24"/>
                <w:szCs w:val="24"/>
                <w:shd w:val="clear" w:fill="FFFFFF"/>
                <w:lang w:val="en-US" w:eastAsia="zh-CN"/>
              </w:rPr>
              <w:t>20</w:t>
            </w:r>
            <w:r>
              <w:rPr>
                <w:rFonts w:hint="default" w:ascii="Segoe UI" w:hAnsi="Segoe UI" w:eastAsia="Segoe UI" w:cs="Segoe UI"/>
                <w:i w:val="0"/>
                <w:iCs w:val="0"/>
                <w:caps w:val="0"/>
                <w:color w:val="404040"/>
                <w:spacing w:val="0"/>
                <w:sz w:val="24"/>
                <w:szCs w:val="24"/>
                <w:shd w:val="clear" w:fill="FFFFFF"/>
              </w:rPr>
              <w:t>分）：服务网点覆盖公务车常用区域</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shd w:val="clear" w:fill="FFFFFF"/>
                <w:lang w:val="en-US" w:eastAsia="zh-CN"/>
              </w:rPr>
              <w:t>全重庆市加油站点≥100个的得20分，全重庆市加油站点≥50个的得10分，全重庆市加油站点≥10个的得5分，全重庆市加油站点＜10个的得0分。</w:t>
            </w:r>
          </w:p>
          <w:p w14:paraId="6ACD499A">
            <w:pPr>
              <w:pStyle w:val="2"/>
              <w:ind w:left="0" w:leftChars="0" w:firstLine="640" w:firstLineChars="200"/>
            </w:pPr>
            <w:r>
              <w:rPr>
                <w:rFonts w:hint="eastAsia" w:ascii="方正仿宋_GBK" w:hAnsi="方正仿宋_GBK" w:eastAsia="方正仿宋_GBK" w:cs="方正仿宋_GBK"/>
                <w:b w:val="0"/>
                <w:bCs w:val="0"/>
                <w:color w:val="auto"/>
                <w:kern w:val="0"/>
                <w:sz w:val="32"/>
                <w:szCs w:val="32"/>
                <w:lang w:val="en-US" w:eastAsia="zh-CN"/>
              </w:rPr>
              <w:t>评审材料：提供全市已建成投用的站点布局资料，不包括未来规划的加油站点。</w:t>
            </w:r>
          </w:p>
        </w:tc>
      </w:tr>
      <w:tr w14:paraId="73DE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39839FA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916" w:type="dxa"/>
            <w:vMerge w:val="continue"/>
            <w:noWrap w:val="0"/>
            <w:vAlign w:val="center"/>
          </w:tcPr>
          <w:p w14:paraId="142EA2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p>
        </w:tc>
        <w:tc>
          <w:tcPr>
            <w:tcW w:w="6787" w:type="dxa"/>
            <w:noWrap w:val="0"/>
            <w:vAlign w:val="center"/>
          </w:tcPr>
          <w:p w14:paraId="00E71FB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Segoe UI" w:hAnsi="Segoe UI" w:eastAsia="宋体" w:cs="Segoe UI"/>
                <w:i w:val="0"/>
                <w:iCs w:val="0"/>
                <w:caps w:val="0"/>
                <w:color w:val="404040"/>
                <w:spacing w:val="0"/>
                <w:sz w:val="24"/>
                <w:szCs w:val="24"/>
                <w:shd w:val="clear" w:fill="FFFFFF"/>
                <w:lang w:val="en-US" w:eastAsia="zh-CN"/>
              </w:rPr>
            </w:pPr>
            <w:r>
              <w:rPr>
                <w:rStyle w:val="18"/>
                <w:rFonts w:ascii="Segoe UI" w:hAnsi="Segoe UI" w:eastAsia="Segoe UI" w:cs="Segoe UI"/>
                <w:i w:val="0"/>
                <w:iCs w:val="0"/>
                <w:caps w:val="0"/>
                <w:color w:val="404040"/>
                <w:spacing w:val="0"/>
                <w:sz w:val="24"/>
                <w:szCs w:val="24"/>
                <w:shd w:val="clear" w:fill="FFFFFF"/>
              </w:rPr>
              <w:t>应急保障</w:t>
            </w:r>
            <w:r>
              <w:rPr>
                <w:rFonts w:hint="default" w:ascii="Segoe UI" w:hAnsi="Segoe UI" w:eastAsia="Segoe UI" w:cs="Segoe UI"/>
                <w:i w:val="0"/>
                <w:iCs w:val="0"/>
                <w:caps w:val="0"/>
                <w:color w:val="404040"/>
                <w:spacing w:val="0"/>
                <w:sz w:val="24"/>
                <w:szCs w:val="24"/>
                <w:shd w:val="clear" w:fill="FFFFFF"/>
              </w:rPr>
              <w:t>（5分）：</w:t>
            </w:r>
            <w:r>
              <w:rPr>
                <w:rFonts w:hint="eastAsia" w:ascii="Segoe UI" w:hAnsi="Segoe UI" w:eastAsia="宋体" w:cs="Segoe UI"/>
                <w:i w:val="0"/>
                <w:iCs w:val="0"/>
                <w:caps w:val="0"/>
                <w:color w:val="404040"/>
                <w:spacing w:val="0"/>
                <w:sz w:val="24"/>
                <w:szCs w:val="24"/>
                <w:shd w:val="clear" w:fill="FFFFFF"/>
                <w:lang w:val="en-US" w:eastAsia="zh-CN"/>
              </w:rPr>
              <w:t>战争或重大灾害时的应急保障服务方案，方案科学合理、具有执行性的得5分，方案欠合理，执行性差的得2分，方案不具备科学性和执行性或者未提供的得0分。</w:t>
            </w:r>
          </w:p>
          <w:p w14:paraId="0ED6098E">
            <w:pPr>
              <w:pStyle w:val="2"/>
              <w:rPr>
                <w:rFonts w:hint="default"/>
                <w:lang w:val="en-US"/>
              </w:rPr>
            </w:pPr>
            <w:r>
              <w:rPr>
                <w:rFonts w:hint="eastAsia" w:ascii="方正仿宋_GBK" w:hAnsi="方正仿宋_GBK" w:eastAsia="方正仿宋_GBK" w:cs="方正仿宋_GBK"/>
                <w:b w:val="0"/>
                <w:bCs w:val="0"/>
                <w:color w:val="auto"/>
                <w:kern w:val="0"/>
                <w:sz w:val="32"/>
                <w:szCs w:val="32"/>
                <w:lang w:val="en-US" w:eastAsia="zh-CN"/>
              </w:rPr>
              <w:t>评审材料：应急加油保供方案</w:t>
            </w:r>
          </w:p>
        </w:tc>
      </w:tr>
      <w:tr w14:paraId="5A4A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1793" w:type="dxa"/>
            <w:noWrap w:val="0"/>
            <w:vAlign w:val="center"/>
          </w:tcPr>
          <w:p w14:paraId="30B7473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商务部分</w:t>
            </w:r>
          </w:p>
        </w:tc>
        <w:tc>
          <w:tcPr>
            <w:tcW w:w="916" w:type="dxa"/>
            <w:noWrap w:val="0"/>
            <w:vAlign w:val="center"/>
          </w:tcPr>
          <w:p w14:paraId="5015237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20</w:t>
            </w:r>
          </w:p>
        </w:tc>
        <w:tc>
          <w:tcPr>
            <w:tcW w:w="6787" w:type="dxa"/>
            <w:noWrap w:val="0"/>
            <w:vAlign w:val="center"/>
          </w:tcPr>
          <w:p w14:paraId="6D58C994">
            <w:pPr>
              <w:pStyle w:val="12"/>
              <w:keepNext w:val="0"/>
              <w:keepLines w:val="0"/>
              <w:widowControl/>
              <w:suppressLineNumbers w:val="0"/>
              <w:spacing w:before="0" w:beforeAutospacing="0" w:after="0" w:afterAutospacing="0"/>
              <w:ind w:left="0" w:leftChars="0" w:right="0" w:firstLine="420" w:firstLineChars="175"/>
            </w:pPr>
            <w:r>
              <w:rPr>
                <w:rStyle w:val="18"/>
                <w:rFonts w:ascii="Segoe UI" w:hAnsi="Segoe UI" w:eastAsia="Segoe UI" w:cs="Segoe UI"/>
                <w:i w:val="0"/>
                <w:iCs w:val="0"/>
                <w:caps w:val="0"/>
                <w:color w:val="404040"/>
                <w:spacing w:val="0"/>
                <w:sz w:val="24"/>
                <w:szCs w:val="24"/>
                <w:shd w:val="clear" w:fill="FFFFFF"/>
              </w:rPr>
              <w:t>一卡通支持</w:t>
            </w:r>
            <w:r>
              <w:rPr>
                <w:rFonts w:hint="default" w:ascii="Segoe UI" w:hAnsi="Segoe UI" w:eastAsia="Segoe UI" w:cs="Segoe UI"/>
                <w:i w:val="0"/>
                <w:iCs w:val="0"/>
                <w:caps w:val="0"/>
                <w:color w:val="404040"/>
                <w:spacing w:val="0"/>
                <w:sz w:val="24"/>
                <w:szCs w:val="24"/>
                <w:shd w:val="clear" w:fill="FFFFFF"/>
              </w:rPr>
              <w:t>（5分）：支持公务卡、ETC卡等统一支付</w:t>
            </w:r>
            <w:r>
              <w:rPr>
                <w:rFonts w:hint="eastAsia" w:ascii="Segoe UI" w:hAnsi="Segoe UI" w:eastAsia="宋体" w:cs="Segoe UI"/>
                <w:i w:val="0"/>
                <w:iCs w:val="0"/>
                <w:caps w:val="0"/>
                <w:color w:val="404040"/>
                <w:spacing w:val="0"/>
                <w:sz w:val="24"/>
                <w:szCs w:val="24"/>
                <w:shd w:val="clear" w:fill="FFFFFF"/>
                <w:lang w:val="en-US" w:eastAsia="zh-CN"/>
              </w:rPr>
              <w:t>的得5分，否则不得分</w:t>
            </w:r>
            <w:r>
              <w:rPr>
                <w:rFonts w:hint="default" w:ascii="Segoe UI" w:hAnsi="Segoe UI" w:eastAsia="Segoe UI" w:cs="Segoe UI"/>
                <w:i w:val="0"/>
                <w:iCs w:val="0"/>
                <w:caps w:val="0"/>
                <w:color w:val="404040"/>
                <w:spacing w:val="0"/>
                <w:sz w:val="24"/>
                <w:szCs w:val="24"/>
                <w:shd w:val="clear" w:fill="FFFFFF"/>
              </w:rPr>
              <w:t>。</w:t>
            </w:r>
          </w:p>
          <w:p w14:paraId="54F7A0EE">
            <w:pPr>
              <w:pStyle w:val="12"/>
              <w:keepNext w:val="0"/>
              <w:keepLines w:val="0"/>
              <w:widowControl/>
              <w:suppressLineNumbers w:val="0"/>
              <w:spacing w:before="0" w:beforeAutospacing="0" w:after="0" w:afterAutospacing="0"/>
              <w:ind w:left="0" w:leftChars="0" w:right="0" w:firstLine="422" w:firstLineChars="175"/>
            </w:pPr>
            <w:r>
              <w:rPr>
                <w:rStyle w:val="18"/>
                <w:rFonts w:hint="eastAsia" w:ascii="Segoe UI" w:hAnsi="Segoe UI" w:eastAsia="宋体" w:cs="Segoe UI"/>
                <w:i w:val="0"/>
                <w:iCs w:val="0"/>
                <w:caps w:val="0"/>
                <w:color w:val="404040"/>
                <w:spacing w:val="0"/>
                <w:sz w:val="24"/>
                <w:szCs w:val="24"/>
                <w:shd w:val="clear" w:fill="FFFFFF"/>
                <w:lang w:val="en-US" w:eastAsia="zh-CN"/>
              </w:rPr>
              <w:t>采购人职工优惠</w:t>
            </w:r>
            <w:r>
              <w:rPr>
                <w:rFonts w:hint="default" w:ascii="Segoe UI" w:hAnsi="Segoe UI" w:eastAsia="Segoe UI" w:cs="Segoe UI"/>
                <w:i w:val="0"/>
                <w:iCs w:val="0"/>
                <w:caps w:val="0"/>
                <w:color w:val="404040"/>
                <w:spacing w:val="0"/>
                <w:sz w:val="24"/>
                <w:szCs w:val="24"/>
                <w:shd w:val="clear" w:fill="FFFFFF"/>
              </w:rPr>
              <w:t>（5分）：提供</w:t>
            </w:r>
            <w:r>
              <w:rPr>
                <w:rFonts w:hint="eastAsia" w:ascii="Segoe UI" w:hAnsi="Segoe UI" w:eastAsia="宋体" w:cs="Segoe UI"/>
                <w:i w:val="0"/>
                <w:iCs w:val="0"/>
                <w:caps w:val="0"/>
                <w:color w:val="404040"/>
                <w:spacing w:val="0"/>
                <w:sz w:val="24"/>
                <w:szCs w:val="24"/>
                <w:shd w:val="clear" w:fill="FFFFFF"/>
                <w:lang w:val="en-US" w:eastAsia="zh-CN"/>
              </w:rPr>
              <w:t>书面承诺，对采购人职工按照中选单价进行优惠，费用由职工个人结算的得5分，否则不得分</w:t>
            </w:r>
            <w:r>
              <w:rPr>
                <w:rFonts w:hint="default" w:ascii="Segoe UI" w:hAnsi="Segoe UI" w:eastAsia="Segoe UI" w:cs="Segoe UI"/>
                <w:i w:val="0"/>
                <w:iCs w:val="0"/>
                <w:caps w:val="0"/>
                <w:color w:val="404040"/>
                <w:spacing w:val="0"/>
                <w:sz w:val="24"/>
                <w:szCs w:val="24"/>
                <w:shd w:val="clear" w:fill="FFFFFF"/>
              </w:rPr>
              <w:t>。</w:t>
            </w:r>
          </w:p>
          <w:p w14:paraId="014BC957">
            <w:pPr>
              <w:pStyle w:val="12"/>
              <w:keepNext w:val="0"/>
              <w:keepLines w:val="0"/>
              <w:widowControl/>
              <w:suppressLineNumbers w:val="0"/>
              <w:spacing w:before="0" w:beforeAutospacing="0" w:after="0" w:afterAutospacing="0"/>
              <w:ind w:left="0" w:leftChars="0" w:right="0" w:firstLine="420" w:firstLineChars="175"/>
            </w:pPr>
            <w:r>
              <w:rPr>
                <w:rStyle w:val="18"/>
                <w:rFonts w:ascii="Segoe UI" w:hAnsi="Segoe UI" w:eastAsia="Segoe UI" w:cs="Segoe UI"/>
                <w:i w:val="0"/>
                <w:iCs w:val="0"/>
                <w:caps w:val="0"/>
                <w:color w:val="404040"/>
                <w:spacing w:val="0"/>
                <w:sz w:val="24"/>
                <w:szCs w:val="24"/>
                <w:shd w:val="clear" w:fill="FFFFFF"/>
              </w:rPr>
              <w:t>绿色能源</w:t>
            </w:r>
            <w:r>
              <w:rPr>
                <w:rFonts w:hint="default" w:ascii="Segoe UI" w:hAnsi="Segoe UI" w:eastAsia="Segoe UI" w:cs="Segoe UI"/>
                <w:i w:val="0"/>
                <w:iCs w:val="0"/>
                <w:caps w:val="0"/>
                <w:color w:val="404040"/>
                <w:spacing w:val="0"/>
                <w:sz w:val="24"/>
                <w:szCs w:val="24"/>
                <w:shd w:val="clear" w:fill="FFFFFF"/>
              </w:rPr>
              <w:t>（5分）：提供充电桩、氢能源等新能源服务。</w:t>
            </w:r>
          </w:p>
          <w:p w14:paraId="4C78FA7C">
            <w:pPr>
              <w:pStyle w:val="12"/>
              <w:keepNext w:val="0"/>
              <w:keepLines w:val="0"/>
              <w:widowControl/>
              <w:suppressLineNumbers w:val="0"/>
              <w:spacing w:before="0" w:beforeAutospacing="0" w:after="0" w:afterAutospacing="0"/>
              <w:ind w:left="0" w:leftChars="0" w:right="0" w:firstLine="420" w:firstLineChars="175"/>
            </w:pPr>
            <w:r>
              <w:rPr>
                <w:rStyle w:val="18"/>
                <w:rFonts w:hint="default" w:ascii="Segoe UI" w:hAnsi="Segoe UI" w:eastAsia="Segoe UI" w:cs="Segoe UI"/>
                <w:i w:val="0"/>
                <w:iCs w:val="0"/>
                <w:caps w:val="0"/>
                <w:color w:val="404040"/>
                <w:spacing w:val="0"/>
                <w:sz w:val="24"/>
                <w:szCs w:val="24"/>
                <w:shd w:val="clear" w:fill="FFFFFF"/>
              </w:rPr>
              <w:t>数字化管理</w:t>
            </w:r>
            <w:r>
              <w:rPr>
                <w:rFonts w:hint="default" w:ascii="Segoe UI" w:hAnsi="Segoe UI" w:eastAsia="Segoe UI" w:cs="Segoe UI"/>
                <w:i w:val="0"/>
                <w:iCs w:val="0"/>
                <w:caps w:val="0"/>
                <w:color w:val="404040"/>
                <w:spacing w:val="0"/>
                <w:sz w:val="24"/>
                <w:szCs w:val="24"/>
                <w:shd w:val="clear" w:fill="FFFFFF"/>
              </w:rPr>
              <w:t>（5分）：支持APP预约、AI油耗分析等</w:t>
            </w:r>
          </w:p>
          <w:p w14:paraId="72811C15">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175"/>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评审材料：供应商提供对应的佐证材料</w:t>
            </w:r>
          </w:p>
        </w:tc>
      </w:tr>
    </w:tbl>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14.其他要求</w:t>
      </w:r>
    </w:p>
    <w:p w14:paraId="3C0538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w:t>
      </w:r>
    </w:p>
    <w:p w14:paraId="6C3FF8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（2）成交供应商未在规定时间内签订合同、拒绝签订履行采购合同或质保期响应不及时等影响采购人正常工作的，采购人将纳入供应商不良行为记录进行管理；</w:t>
      </w:r>
    </w:p>
    <w:p w14:paraId="53C17BB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（3）其他未尽事宜由供需双方在采购合同中详细约定；</w:t>
      </w:r>
    </w:p>
    <w:p w14:paraId="0771369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（4）本项目不接受联合体参与投标；</w:t>
      </w:r>
    </w:p>
    <w:p w14:paraId="33DC3DA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B41331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（6）如投标人违反《中华人民共和国政府采购法》《中华人民共和国政府采购实施条例》等相关规定，采购人将按规定追究投标人法律责任。</w:t>
      </w:r>
    </w:p>
    <w:p w14:paraId="0ED20D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7）无效响应情况：①供应商不符合规定的基本资格条件或特定资格条件的；②供应商所提交的响应文件未按询价文件要求签字、盖章、份数，提供图片资料的图片未占A4纸满页（不便于查看和资料存档）；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（8）供应商有以下情形之一的，将纳入不良行为记录，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11.配套服务承诺</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kern w:val="2"/>
          <w:sz w:val="32"/>
          <w:szCs w:val="32"/>
          <w:lang w:val="en-US" w:eastAsia="zh-CN" w:bidi="ar-SA"/>
        </w:rPr>
        <w:t>成品油经营许可</w:t>
      </w:r>
      <w:r>
        <w:rPr>
          <w:rFonts w:hint="default" w:ascii="方正仿宋_GBK" w:hAnsi="方正仿宋_GBK" w:eastAsia="方正仿宋_GBK" w:cs="方正仿宋_GBK"/>
          <w:sz w:val="32"/>
          <w:szCs w:val="32"/>
          <w:lang w:val="en-US" w:eastAsia="zh-CN"/>
        </w:rPr>
        <w:t>证</w:t>
      </w:r>
      <w:r>
        <w:rPr>
          <w:rFonts w:hint="eastAsia" w:ascii="方正仿宋_GBK" w:hAnsi="方正仿宋_GBK" w:eastAsia="方正仿宋_GBK" w:cs="方正仿宋_GBK"/>
          <w:sz w:val="32"/>
          <w:szCs w:val="32"/>
          <w:lang w:val="en-US" w:eastAsia="zh-CN"/>
        </w:rPr>
        <w:t>、消防安全认证等资料，</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3" w:name="_Toc175017344"/>
      <w:bookmarkStart w:id="4" w:name="_Toc128229747"/>
      <w:bookmarkStart w:id="5" w:name="_Toc156196472"/>
      <w:bookmarkStart w:id="6" w:name="_Toc128014297"/>
      <w:bookmarkStart w:id="7" w:name="_Toc128229304"/>
      <w:bookmarkStart w:id="8" w:name="_Toc237057793"/>
      <w:bookmarkStart w:id="9" w:name="_Toc173677399"/>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3"/>
      <w:bookmarkEnd w:id="4"/>
      <w:bookmarkEnd w:id="5"/>
      <w:bookmarkEnd w:id="6"/>
      <w:bookmarkEnd w:id="7"/>
      <w:bookmarkEnd w:id="8"/>
      <w:bookmarkEnd w:id="9"/>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1．愿意按照询价采购文件中的一切要求，提供本项目的所有产品的总折扣率为：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1A117DC9">
      <w:pPr>
        <w:rPr>
          <w:rFonts w:ascii="微软雅黑" w:hAnsi="微软雅黑" w:eastAsia="微软雅黑" w:cs="微软雅黑"/>
          <w:sz w:val="30"/>
          <w:szCs w:val="30"/>
        </w:rPr>
      </w:pPr>
      <w:r>
        <w:rPr>
          <w:rFonts w:hint="eastAsia" w:ascii="方正仿宋_GBK" w:hAnsi="方正仿宋_GBK" w:eastAsia="方正仿宋_GBK" w:cs="方正仿宋_GBK"/>
          <w:sz w:val="32"/>
          <w:szCs w:val="32"/>
          <w:lang w:val="en-US" w:eastAsia="zh-CN"/>
        </w:rPr>
        <w:br w:type="page"/>
      </w:r>
    </w:p>
    <w:p w14:paraId="7C24943D">
      <w:pPr>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5"/>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5"/>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0721E0A">
      <w:pPr>
        <w:spacing w:line="594" w:lineRule="exact"/>
        <w:ind w:firstLine="640" w:firstLineChars="200"/>
        <w:jc w:val="center"/>
        <w:rPr>
          <w:rFonts w:hint="default" w:ascii="微软雅黑" w:hAnsi="微软雅黑" w:eastAsia="微软雅黑"/>
          <w:b/>
          <w:bCs/>
          <w:sz w:val="32"/>
          <w:szCs w:val="32"/>
          <w:highlight w:val="none"/>
          <w:lang w:val="en-US" w:eastAsia="zh-CN"/>
        </w:rPr>
      </w:pPr>
      <w:r>
        <w:rPr>
          <w:rFonts w:hint="eastAsia" w:ascii="微软雅黑" w:hAnsi="微软雅黑" w:eastAsia="微软雅黑"/>
          <w:b/>
          <w:bCs/>
          <w:sz w:val="32"/>
          <w:szCs w:val="32"/>
          <w:highlight w:val="none"/>
          <w:lang w:val="en-US" w:eastAsia="zh-CN"/>
        </w:rPr>
        <w:t>配套服务承诺</w:t>
      </w:r>
    </w:p>
    <w:p w14:paraId="4C26E8B4">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方正仿宋_GBK" w:hAnsi="方正仿宋_GBK" w:eastAsia="方正仿宋_GBK" w:cs="方正仿宋_GBK"/>
          <w:color w:val="auto"/>
          <w:kern w:val="0"/>
          <w:sz w:val="32"/>
          <w:szCs w:val="32"/>
          <w:lang w:val="en-US" w:eastAsia="zh-CN"/>
        </w:rPr>
        <w:t>（1）保密约定：对采购人用油数据进行保密，未经采购人允许和司法等部门凭合法手续调取不得泄漏该数据；</w:t>
      </w:r>
      <w:r>
        <w:rPr>
          <w:rFonts w:hint="default" w:ascii="方正仿宋_GBK" w:hAnsi="方正仿宋_GBK" w:eastAsia="方正仿宋_GBK" w:cs="方正仿宋_GBK"/>
          <w:color w:val="auto"/>
          <w:kern w:val="0"/>
          <w:sz w:val="32"/>
          <w:szCs w:val="32"/>
          <w:lang w:eastAsia="zh-CN"/>
        </w:rPr>
        <w:t>驾驶员对私车加油纳入公车报销应向采购人举报；（2）加油期间</w:t>
      </w:r>
      <w:r>
        <w:rPr>
          <w:rFonts w:hint="eastAsia" w:ascii="方正仿宋_GBK" w:hAnsi="方正仿宋_GBK" w:eastAsia="方正仿宋_GBK" w:cs="方正仿宋_GBK"/>
          <w:color w:val="auto"/>
          <w:kern w:val="0"/>
          <w:sz w:val="32"/>
          <w:szCs w:val="32"/>
          <w:lang w:val="en-US" w:eastAsia="zh-CN"/>
        </w:rPr>
        <w:t>为驾驶员提供必要的帮助；（</w:t>
      </w:r>
      <w:r>
        <w:rPr>
          <w:rFonts w:hint="default" w:ascii="方正仿宋_GBK" w:hAnsi="方正仿宋_GBK" w:eastAsia="方正仿宋_GBK" w:cs="方正仿宋_GBK"/>
          <w:color w:val="auto"/>
          <w:kern w:val="0"/>
          <w:sz w:val="32"/>
          <w:szCs w:val="32"/>
          <w:lang w:eastAsia="zh-CN"/>
        </w:rPr>
        <w:t>3</w:t>
      </w:r>
      <w:r>
        <w:rPr>
          <w:rFonts w:hint="eastAsia" w:ascii="方正仿宋_GBK" w:hAnsi="方正仿宋_GBK" w:eastAsia="方正仿宋_GBK" w:cs="方正仿宋_GBK"/>
          <w:color w:val="auto"/>
          <w:kern w:val="0"/>
          <w:sz w:val="32"/>
          <w:szCs w:val="32"/>
          <w:lang w:val="en-US" w:eastAsia="zh-CN"/>
        </w:rPr>
        <w:t>）响应时间：优先保障采购人车辆加油服务，救护车到达加油站后5分钟完成加油服务，其他车辆10分钟内完成加油服务；（</w:t>
      </w:r>
      <w:r>
        <w:rPr>
          <w:rFonts w:hint="default" w:ascii="方正仿宋_GBK" w:hAnsi="方正仿宋_GBK" w:eastAsia="方正仿宋_GBK" w:cs="方正仿宋_GBK"/>
          <w:color w:val="auto"/>
          <w:kern w:val="0"/>
          <w:sz w:val="32"/>
          <w:szCs w:val="32"/>
          <w:lang w:eastAsia="zh-CN"/>
        </w:rPr>
        <w:t>4</w:t>
      </w:r>
      <w:r>
        <w:rPr>
          <w:rFonts w:hint="eastAsia" w:ascii="方正仿宋_GBK" w:hAnsi="方正仿宋_GBK" w:eastAsia="方正仿宋_GBK" w:cs="方正仿宋_GBK"/>
          <w:color w:val="auto"/>
          <w:kern w:val="0"/>
          <w:sz w:val="32"/>
          <w:szCs w:val="32"/>
          <w:lang w:val="en-US" w:eastAsia="zh-CN"/>
        </w:rPr>
        <w:t>）特殊时期（灾害事故期间）保障采购人车辆供油</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DDF8660">
      <w:pPr>
        <w:rPr>
          <w:rFonts w:hint="eastAsia" w:ascii="仿宋_GB2312" w:eastAsia="仿宋_GB2312" w:cs="宋体"/>
          <w:color w:val="auto"/>
          <w:sz w:val="32"/>
          <w:szCs w:val="32"/>
          <w:lang w:val="en-US" w:eastAsia="zh-CN"/>
        </w:rPr>
      </w:pPr>
    </w:p>
    <w:p w14:paraId="38B35B51">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FB539B"/>
    <w:rsid w:val="07F82B6D"/>
    <w:rsid w:val="0C7751F3"/>
    <w:rsid w:val="0C872834"/>
    <w:rsid w:val="0C974041"/>
    <w:rsid w:val="0CE64C8D"/>
    <w:rsid w:val="0D5C636E"/>
    <w:rsid w:val="0E440BB0"/>
    <w:rsid w:val="0E6637FD"/>
    <w:rsid w:val="0E6753E5"/>
    <w:rsid w:val="0E7F48AD"/>
    <w:rsid w:val="0E9F1F75"/>
    <w:rsid w:val="0F3D73C4"/>
    <w:rsid w:val="0FAB7A71"/>
    <w:rsid w:val="0FD01451"/>
    <w:rsid w:val="10945E1E"/>
    <w:rsid w:val="117F5F09"/>
    <w:rsid w:val="122D0B62"/>
    <w:rsid w:val="133D5E0A"/>
    <w:rsid w:val="16F87680"/>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DE62EC4"/>
    <w:rsid w:val="2F2F3117"/>
    <w:rsid w:val="2F653A8F"/>
    <w:rsid w:val="2FC44243"/>
    <w:rsid w:val="31092EA8"/>
    <w:rsid w:val="33FB61AD"/>
    <w:rsid w:val="342C6BC9"/>
    <w:rsid w:val="35761799"/>
    <w:rsid w:val="376E6279"/>
    <w:rsid w:val="38A14340"/>
    <w:rsid w:val="396A2364"/>
    <w:rsid w:val="3A8A6AFB"/>
    <w:rsid w:val="3B5B7766"/>
    <w:rsid w:val="3D8263F7"/>
    <w:rsid w:val="3F1B1673"/>
    <w:rsid w:val="40611EDD"/>
    <w:rsid w:val="439873F8"/>
    <w:rsid w:val="44C5770F"/>
    <w:rsid w:val="44EF71C4"/>
    <w:rsid w:val="475D7492"/>
    <w:rsid w:val="482D6FF9"/>
    <w:rsid w:val="49470D20"/>
    <w:rsid w:val="496140CE"/>
    <w:rsid w:val="4AC11CF1"/>
    <w:rsid w:val="4AE139DB"/>
    <w:rsid w:val="4B782C5C"/>
    <w:rsid w:val="4BDB0A24"/>
    <w:rsid w:val="4C31315D"/>
    <w:rsid w:val="4E9252C1"/>
    <w:rsid w:val="4F6D75ED"/>
    <w:rsid w:val="51352B6B"/>
    <w:rsid w:val="53A17F68"/>
    <w:rsid w:val="53DB6C22"/>
    <w:rsid w:val="55085A60"/>
    <w:rsid w:val="564B654C"/>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1E91041"/>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next w:val="14"/>
    <w:qFormat/>
    <w:uiPriority w:val="0"/>
    <w:pPr>
      <w:spacing w:line="360" w:lineRule="auto"/>
      <w:ind w:firstLine="420"/>
    </w:pPr>
    <w:rPr>
      <w:rFonts w:ascii="宋体" w:hAnsi="宋体"/>
      <w:sz w:val="24"/>
    </w:rPr>
  </w:style>
  <w:style w:type="paragraph" w:styleId="14">
    <w:name w:val="Body Text First Indent 2"/>
    <w:basedOn w:val="7"/>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4932</Words>
  <Characters>5067</Characters>
  <Lines>0</Lines>
  <Paragraphs>0</Paragraphs>
  <TotalTime>10</TotalTime>
  <ScaleCrop>false</ScaleCrop>
  <LinksUpToDate>false</LinksUpToDate>
  <CharactersWithSpaces>5105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2025-04-25T06:59:47Z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7C7E07C961DA49FAABF1C30D1351DA6E_13</vt:lpwstr>
  </property>
  <property fmtid="{D5CDD505-2E9C-101B-9397-08002B2CF9AE}" pid="4" name="KSOTemplateDocerSaveRecord">
    <vt:lpwstr>eyJoZGlkIjoiNzdkNTM4MTkwYTE0Yjk0Y2Y4MjVlZDcwOGViZTQwYjIiLCJ1c2VySWQiOiIxMTc2NDE1MTk0In0=</vt:lpwstr>
  </property>
</Properties>
</file>