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bookmarkStart w:id="7" w:name="_GoBack"/>
      <w:bookmarkEnd w:id="7"/>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项目名称：内镜中心管道清洗刷等物资</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项目编号：BSRMYY-YNCG-2025-03010</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488"/>
        <w:gridCol w:w="965"/>
        <w:gridCol w:w="1028"/>
        <w:gridCol w:w="1560"/>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预估用量</w:t>
            </w:r>
          </w:p>
        </w:tc>
        <w:tc>
          <w:tcPr>
            <w:tcW w:w="522"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792"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最高单价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管道清洗刷</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w:t>
            </w:r>
          </w:p>
        </w:tc>
        <w:tc>
          <w:tcPr>
            <w:tcW w:w="522"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sz w:val="28"/>
                <w:szCs w:val="28"/>
                <w:lang w:val="en-US" w:eastAsia="zh-CN"/>
              </w:rPr>
              <w:t>把</w:t>
            </w:r>
          </w:p>
        </w:tc>
        <w:tc>
          <w:tcPr>
            <w:tcW w:w="792"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390元</w:t>
            </w:r>
          </w:p>
        </w:tc>
      </w:tr>
      <w:tr w14:paraId="14B01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2787" w:type="pct"/>
            <w:vAlign w:val="center"/>
          </w:tcPr>
          <w:p w14:paraId="21FF439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管道开口清洗刷</w:t>
            </w:r>
          </w:p>
        </w:tc>
        <w:tc>
          <w:tcPr>
            <w:tcW w:w="490" w:type="pct"/>
            <w:vAlign w:val="center"/>
          </w:tcPr>
          <w:p w14:paraId="5C3E282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w:t>
            </w:r>
          </w:p>
        </w:tc>
        <w:tc>
          <w:tcPr>
            <w:tcW w:w="522" w:type="pct"/>
            <w:vAlign w:val="center"/>
          </w:tcPr>
          <w:p w14:paraId="2D593ED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把</w:t>
            </w:r>
          </w:p>
        </w:tc>
        <w:tc>
          <w:tcPr>
            <w:tcW w:w="792" w:type="pct"/>
            <w:vAlign w:val="center"/>
          </w:tcPr>
          <w:p w14:paraId="377B6AB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80元</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207" w:type="pct"/>
            <w:gridSpan w:val="4"/>
            <w:vAlign w:val="center"/>
          </w:tcPr>
          <w:p w14:paraId="2DAD341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w:t>
            </w:r>
          </w:p>
        </w:tc>
        <w:tc>
          <w:tcPr>
            <w:tcW w:w="792" w:type="pct"/>
            <w:vAlign w:val="center"/>
          </w:tcPr>
          <w:p w14:paraId="4CA7ED4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21900元</w:t>
            </w:r>
          </w:p>
        </w:tc>
      </w:tr>
    </w:tbl>
    <w:p w14:paraId="147CC1C0">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预估用量不做采购承诺，合同期内据实结算。</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6BC697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规格长短大小直径：胃肠镜清洁刷1800mm-2300mm 管道开口刷各型</w:t>
      </w:r>
    </w:p>
    <w:p w14:paraId="144A735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材质要求：尼龙、聚酯纤维、或医用高分子材料。</w:t>
      </w:r>
    </w:p>
    <w:p w14:paraId="7B085EC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主要性能：耐腐蚀、耐高温，无脱落风险，手柄防滑设计，刷头与手柄一体式</w:t>
      </w:r>
    </w:p>
    <w:p w14:paraId="56B5EBB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用途范围：用于清洁胃肠镜，可有效清除生物膜、血液、黏液等残留物，需通过清洁验证</w:t>
      </w:r>
    </w:p>
    <w:p w14:paraId="781B02A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组成结构：金属尖端、刷毛、轴</w:t>
      </w:r>
    </w:p>
    <w:p w14:paraId="62D4C2B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环保节能要求：无害化处理</w:t>
      </w:r>
    </w:p>
    <w:p w14:paraId="4FEE891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是否与其他产品配套：适配各类奥林巴斯胃肠镜管腔(符合中国GB/T19633或ISO13485、或美国FDA510(k)或欧盟CE认证</w:t>
      </w:r>
    </w:p>
    <w:p w14:paraId="3A5E05A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具体配置：适配奥林巴斯胃肠镜各型管腔</w:t>
      </w:r>
    </w:p>
    <w:p w14:paraId="2E4F115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质保期限：独立密封包装、标注生产日、有效期、批号</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21900元。报价要求：本次报价采用总价进行报价，包含：货款、运输装卸配送费、产品质保期内维护费、产品使用及保养培训费、资料装订及邮寄费、人工住宿差旅费、税费、安全保险费、验收检测费等完成本项目所需的一切费用。因成交供应商自身原因造成漏报、少报皆由其自行承担责任，采购人不再补偿。验收交付前或服务期间满发生的安全责任事故由供应商自行承担。除报送总价外，对产品涉及的配件进行分项报价，所报价格不得高于市场平均价。</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及联系方式，不得实施商业贿赂等不良行为。合同签订前，供应商应提供产品合法来院的厂家或代理商授权。</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完成配送</w:t>
      </w:r>
      <w:r>
        <w:rPr>
          <w:rFonts w:hint="eastAsia" w:ascii="方正仿宋_GBK" w:hAnsi="方正仿宋_GBK" w:eastAsia="方正仿宋_GBK" w:cs="方正仿宋_GBK"/>
          <w:color w:val="auto"/>
          <w:sz w:val="32"/>
          <w:szCs w:val="32"/>
        </w:rPr>
        <w:t>。如合作期间项目数量</w:t>
      </w:r>
      <w:r>
        <w:rPr>
          <w:rFonts w:hint="eastAsia" w:ascii="方正仿宋_GBK" w:hAnsi="方正仿宋_GBK" w:eastAsia="方正仿宋_GBK" w:cs="方正仿宋_GBK"/>
          <w:color w:val="auto"/>
          <w:sz w:val="32"/>
          <w:szCs w:val="32"/>
          <w:lang w:val="en-US" w:eastAsia="zh-CN"/>
        </w:rPr>
        <w:t>按成交价</w:t>
      </w:r>
      <w:r>
        <w:rPr>
          <w:rFonts w:hint="eastAsia" w:ascii="方正仿宋_GBK" w:hAnsi="方正仿宋_GBK" w:eastAsia="方正仿宋_GBK" w:cs="方正仿宋_GBK"/>
          <w:color w:val="auto"/>
          <w:sz w:val="32"/>
          <w:szCs w:val="32"/>
        </w:rPr>
        <w:t>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验收合格后每季度结算一次，付款时供应商须提交全额发票、培训记录、验收记录。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0EA7EA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（1）送货安装前须采购人进行开箱验收，审核产品是否与投标产品的外观、颜色、型号、生产日期等相符，经确认后方能收货；</w:t>
      </w:r>
    </w:p>
    <w:p w14:paraId="7D90C5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（2）产品使用1个月后进行性能验收，按照招投标文件参数功能逐项进行验收，验收前须成交供应商与采购人预约验收时间 。</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质保期要求：执行产品说明书，产品有任何质量问题，供应商应30分钟提供电话响应，4小时来院处置，未及时响应将承担违约责任。质保期内产品突发故障的维修处理期限不计算到质保期，质保期限顺延。质保期届满后，供应商应免费提供电话咨询等服务，协助采购人处理故障。</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（3）产品交付前，应对具体使用人至少进行1次培训，包括操作培训及日常维护培训。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7B2F7F20">
      <w:pPr>
        <w:pStyle w:val="5"/>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43EC71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747"/>
      <w:bookmarkStart w:id="1" w:name="_Toc128229304"/>
      <w:bookmarkStart w:id="2" w:name="_Toc128014297"/>
      <w:bookmarkStart w:id="3" w:name="_Toc173677399"/>
      <w:bookmarkStart w:id="4" w:name="_Toc156196472"/>
      <w:bookmarkStart w:id="5" w:name="_Toc175017344"/>
      <w:bookmarkStart w:id="6" w:name="_Toc237057793"/>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元（附每个产品分项明细表）。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2B5E3A"/>
    <w:rsid w:val="03CE68FB"/>
    <w:rsid w:val="041961A8"/>
    <w:rsid w:val="04C70F47"/>
    <w:rsid w:val="056E5276"/>
    <w:rsid w:val="06FB539B"/>
    <w:rsid w:val="07F82B6D"/>
    <w:rsid w:val="0C872834"/>
    <w:rsid w:val="0C974041"/>
    <w:rsid w:val="0CE64C8D"/>
    <w:rsid w:val="0D5C636E"/>
    <w:rsid w:val="0E440BB0"/>
    <w:rsid w:val="0E6637FD"/>
    <w:rsid w:val="0E6753E5"/>
    <w:rsid w:val="0E9F1F75"/>
    <w:rsid w:val="0F3D73C4"/>
    <w:rsid w:val="0FAB7A71"/>
    <w:rsid w:val="0FD01451"/>
    <w:rsid w:val="10945E1E"/>
    <w:rsid w:val="122D0B62"/>
    <w:rsid w:val="133D5E0A"/>
    <w:rsid w:val="1922346A"/>
    <w:rsid w:val="19375EE1"/>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76E6279"/>
    <w:rsid w:val="38A14340"/>
    <w:rsid w:val="396A2364"/>
    <w:rsid w:val="3A8A6AFB"/>
    <w:rsid w:val="3B556973"/>
    <w:rsid w:val="3B5B7766"/>
    <w:rsid w:val="3D8263F7"/>
    <w:rsid w:val="40611EDD"/>
    <w:rsid w:val="4104615B"/>
    <w:rsid w:val="439873F8"/>
    <w:rsid w:val="44C5770F"/>
    <w:rsid w:val="44EF71C4"/>
    <w:rsid w:val="475D7492"/>
    <w:rsid w:val="482D6FF9"/>
    <w:rsid w:val="49470D20"/>
    <w:rsid w:val="496140CE"/>
    <w:rsid w:val="4AE139DB"/>
    <w:rsid w:val="4B782C5C"/>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D3615F"/>
    <w:rsid w:val="77991C4E"/>
    <w:rsid w:val="77FA34D6"/>
    <w:rsid w:val="78024143"/>
    <w:rsid w:val="799B64FC"/>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6033</Words>
  <Characters>6261</Characters>
  <Lines>0</Lines>
  <Paragraphs>0</Paragraphs>
  <TotalTime>6</TotalTime>
  <ScaleCrop>false</ScaleCrop>
  <LinksUpToDate>false</LinksUpToDate>
  <CharactersWithSpaces>6968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WPS_1556944515</cp:lastModifiedBy>
  <cp:lastPrinted>2024-01-02T09:12:00Z</cp:lastPrinted>
  <dcterms:modified xsi:type="dcterms:W3CDTF">2025-03-26T11:23:03Z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0EAF075E4AA34E23BE5E6F01AE364D53_13</vt:lpwstr>
  </property>
  <property fmtid="{D5CDD505-2E9C-101B-9397-08002B2CF9AE}" pid="4" name="KSOTemplateDocerSaveRecord">
    <vt:lpwstr>eyJoZGlkIjoiNzliNmRkY2YyN2FjZDQwMDgzZGM4ZDZkNTA3MTFmNGMiLCJ1c2VySWQiOiIxNjE2MTQ1MTM5In0=</vt:lpwstr>
  </property>
</Properties>
</file>