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项目名称：冰火板墙板（第三次）</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bookmarkStart w:id="7" w:name="_GoBack"/>
      <w:bookmarkEnd w:id="7"/>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42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610"/>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142"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4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742"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498"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42"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冰火板墙板</w:t>
            </w:r>
          </w:p>
        </w:tc>
        <w:tc>
          <w:tcPr>
            <w:tcW w:w="104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w:t>
            </w:r>
          </w:p>
        </w:tc>
        <w:tc>
          <w:tcPr>
            <w:tcW w:w="742"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平方米</w:t>
            </w:r>
          </w:p>
        </w:tc>
        <w:tc>
          <w:tcPr>
            <w:tcW w:w="1498"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120</w:t>
            </w:r>
          </w:p>
        </w:tc>
      </w:tr>
      <w:tr w14:paraId="424D0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01" w:type="pct"/>
            <w:gridSpan w:val="4"/>
            <w:vAlign w:val="center"/>
          </w:tcPr>
          <w:p w14:paraId="4494BEB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w:t>
            </w:r>
          </w:p>
        </w:tc>
        <w:tc>
          <w:tcPr>
            <w:tcW w:w="1498" w:type="pct"/>
            <w:vAlign w:val="center"/>
          </w:tcPr>
          <w:p w14:paraId="7476C94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60000</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备注：年预估用量不做采购承诺，合同期限1年以实际验收用量据实结算。</w:t>
      </w:r>
    </w:p>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447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35"/>
        <w:gridCol w:w="2079"/>
        <w:gridCol w:w="5899"/>
      </w:tblGrid>
      <w:tr w14:paraId="503E2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4"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7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345"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r>
      <w:tr w14:paraId="180EA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jc w:val="center"/>
        </w:trPr>
        <w:tc>
          <w:tcPr>
            <w:tcW w:w="474"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7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冰火板墙板</w:t>
            </w:r>
          </w:p>
        </w:tc>
        <w:tc>
          <w:tcPr>
            <w:tcW w:w="3345" w:type="pct"/>
            <w:shd w:val="clear" w:color="auto" w:fill="auto"/>
            <w:vAlign w:val="center"/>
          </w:tcPr>
          <w:p w14:paraId="4B9F181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规格：1.22m*2.4m 厚度6mm</w:t>
            </w:r>
          </w:p>
          <w:p w14:paraId="21B2D1C0">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材质：石棉硅酸钙板+装饰材料</w:t>
            </w:r>
          </w:p>
          <w:p w14:paraId="423C1CE3">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环保节能要求：A级防火</w:t>
            </w:r>
          </w:p>
          <w:p w14:paraId="28A0A2DE">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颜色：根据采购人需要确定</w:t>
            </w:r>
          </w:p>
          <w:p w14:paraId="4343F5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配件要求：包含封边线条、实木踢脚线等辅材。</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B1939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经营范围须包含板材的加工及销售；</w:t>
      </w:r>
    </w:p>
    <w:p w14:paraId="103A77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提供近三年内冰火板采购合同及验收记录；</w:t>
      </w:r>
    </w:p>
    <w:p w14:paraId="64FB30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 提供产品时同时提交产品合格证和质检报告；</w:t>
      </w:r>
    </w:p>
    <w:p w14:paraId="0DCD0D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 其他法律法规有关规范。</w:t>
      </w:r>
    </w:p>
    <w:p w14:paraId="6BD1157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本项目单价限价120元/平方米。</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包括但不限于货款、产品颜色定制、实木踢脚线和封边线条等辅料费、运输装卸、</w:t>
      </w:r>
      <w:r>
        <w:rPr>
          <w:rFonts w:hint="eastAsia" w:ascii="方正仿宋_GBK" w:hAnsi="方正仿宋_GBK" w:eastAsia="方正仿宋_GBK" w:cs="方正仿宋_GBK"/>
          <w:b w:val="0"/>
          <w:bCs w:val="0"/>
          <w:color w:val="000000" w:themeColor="text1"/>
          <w:kern w:val="0"/>
          <w:sz w:val="32"/>
          <w:szCs w:val="32"/>
          <w:highlight w:val="none"/>
          <w:lang w:val="en-US" w:eastAsia="zh-CN" w:bidi="ar-SA"/>
          <w14:textFill>
            <w14:solidFill>
              <w14:schemeClr w14:val="tx1"/>
            </w14:solidFill>
          </w14:textFill>
        </w:rPr>
        <w:t>安装人工、清洁、维护、售后、</w:t>
      </w:r>
      <w:r>
        <w:rPr>
          <w:rFonts w:hint="eastAsia" w:ascii="方正仿宋_GBK" w:hAnsi="方正仿宋_GBK" w:eastAsia="方正仿宋_GBK" w:cs="方正仿宋_GBK"/>
          <w:b w:val="0"/>
          <w:color w:val="auto"/>
          <w:kern w:val="0"/>
          <w:sz w:val="32"/>
          <w:szCs w:val="32"/>
          <w:highlight w:val="none"/>
          <w:lang w:val="en-US" w:eastAsia="zh-CN" w:bidi="ar-SA"/>
        </w:rPr>
        <w:t>税费、安全保险费等完成本项目所需的一切费用。因成交供应商自身原因造成漏报、少报皆由其自行承担责任，采购人不再补偿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70CDC76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中选后，一般情况接采购人通知后20天内完成产</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品定制</w:t>
      </w:r>
      <w:r>
        <w:rPr>
          <w:rFonts w:hint="eastAsia" w:ascii="方正仿宋_GBK" w:hAnsi="方正仿宋_GBK" w:eastAsia="方正仿宋_GBK" w:cs="方正仿宋_GBK"/>
          <w:color w:val="auto"/>
          <w:sz w:val="32"/>
          <w:szCs w:val="32"/>
          <w:highlight w:val="none"/>
          <w:lang w:val="en-US" w:eastAsia="zh-CN"/>
        </w:rPr>
        <w:t>和安装，特殊情况根据采购人通知安排。</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每次验收合格后据实结算；付款时供应商提供发票、验收单、送货单等。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109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产品到货后确认产品外观、规格、性能、配件等符合要求作为初步验收，初步验收无异常进行安装，安装后由采购人组织多部门进行最终验收。验收争议时由采购人邀请第三方机构检测，费用由供应商承担，验收后使用中发现产品质量争议按照验收争议进行处理。</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（1）质保期限：产品质保期为验收合格后1年，质保期内非人为损坏免费更换或维修。维修配件应为原厂配件。</w:t>
      </w:r>
    </w:p>
    <w:p w14:paraId="5A64D3A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（2）产品交付前，成交供应商须提供样品供采购人选材。</w:t>
      </w:r>
    </w:p>
    <w:p w14:paraId="2BBD969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（3）每次产品安装后，成交供应商应提供安装现场的清洁卫生服务。</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并将踏勘表装订至投标文件内一并投标。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交供应商应在中标后10个工作日内向采购人缴纳履约保证金5000元（形式可为现金、支票、汇款、银行保函等）。履约保障金将用于保障合同期限内产品质量（产品质量争议鉴定费用将优先从履约保证金中垫付）、配套服务的及时性和完整性、供应商履约期间廉洁自律、围标串标追责和其他违约时追责。供应商无上述行为，合同期满将一次性无息退还。如有上述行为除扣除履约保证金外，同时纳入采购人供应商不良执业记录进行管理。</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1000元违约金；合同期限内供应商出现2次及以上违约送货行为，包括延迟交货、数量短缺或未按约定方式配送等，采购人有权单方面终止合同，并要求供应商承担合同发生额30%的违约金；产品</w:t>
      </w:r>
      <w:r>
        <w:rPr>
          <w:rFonts w:hint="eastAsia" w:ascii="方正仿宋_GBK" w:hAnsi="方正仿宋_GBK" w:eastAsia="方正仿宋_GBK" w:cs="方正仿宋_GBK"/>
          <w:color w:val="auto"/>
          <w:sz w:val="32"/>
          <w:szCs w:val="32"/>
          <w:highlight w:val="none"/>
          <w:lang w:val="en-US" w:eastAsia="zh-CN"/>
        </w:rPr>
        <w:t>验收不合格或使用中发现产品质量缺陷，采购人有权要求供应商整改，整改期限为10日，整改期限届满仍未完成的供应商每日支付合同总金额千分之三的违约金，超过20日未能完成整改，采购人有权解除合同；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b w:val="0"/>
          <w:bCs w:val="0"/>
          <w:color w:val="auto"/>
          <w:kern w:val="0"/>
          <w:sz w:val="32"/>
          <w:szCs w:val="32"/>
          <w:highlight w:val="none"/>
          <w:lang w:val="en-US" w:eastAsia="zh-CN"/>
        </w:rPr>
        <w:t>供应商交付前明知存在缺陷仍继续交付或交付后知晓缺陷未及时通知采购人并整改的，采购人有权解除合同并要求供应商承担项目金额3倍的违约金；产品出现质量问题，供应商每次承担1000元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总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6E427B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766412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经营范围须包含板材的加工及销售；</w:t>
      </w:r>
    </w:p>
    <w:p w14:paraId="25C9325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提供近三年内冰火板采购合同及验收记录；</w:t>
      </w:r>
    </w:p>
    <w:p w14:paraId="394FE0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 提供产品时同时提交合格证和质检报告；</w:t>
      </w:r>
    </w:p>
    <w:p w14:paraId="68A36C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 其他法律法规有关规范。</w:t>
      </w:r>
    </w:p>
    <w:p w14:paraId="5B4EDF2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237057793"/>
      <w:bookmarkStart w:id="2" w:name="_Toc173677399"/>
      <w:bookmarkStart w:id="3" w:name="_Toc175017344"/>
      <w:bookmarkStart w:id="4" w:name="_Toc128229747"/>
      <w:bookmarkStart w:id="5" w:name="_Toc156196472"/>
      <w:bookmarkStart w:id="6" w:name="_Toc12822930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元/平方米。</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AEF434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（如产品说明书、检验检测报告等）</w:t>
      </w:r>
    </w:p>
    <w:p w14:paraId="7C6AC7D1">
      <w:pPr>
        <w:pStyle w:val="5"/>
        <w:jc w:val="both"/>
        <w:rPr>
          <w:rFonts w:hint="eastAsia" w:ascii="仿宋_GB2312" w:eastAsia="仿宋_GB2312" w:cs="宋体"/>
          <w:color w:val="auto"/>
          <w:sz w:val="32"/>
          <w:szCs w:val="32"/>
          <w:highlight w:val="none"/>
          <w:lang w:val="en-US" w:eastAsia="zh-CN"/>
        </w:rPr>
      </w:pP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5"/>
        <w:jc w:val="both"/>
        <w:rPr>
          <w:rFonts w:hint="eastAsia" w:ascii="仿宋_GB2312" w:eastAsia="仿宋_GB2312" w:cs="宋体"/>
          <w:color w:val="auto"/>
          <w:sz w:val="32"/>
          <w:szCs w:val="32"/>
          <w:highlight w:val="none"/>
          <w:lang w:val="en-US" w:eastAsia="zh-CN"/>
        </w:rPr>
      </w:pPr>
    </w:p>
    <w:p w14:paraId="614E13E0">
      <w:pPr>
        <w:pStyle w:val="5"/>
        <w:jc w:val="both"/>
        <w:rPr>
          <w:rFonts w:hint="eastAsia" w:ascii="仿宋_GB2312" w:eastAsia="仿宋_GB2312" w:cs="宋体"/>
          <w:color w:val="auto"/>
          <w:sz w:val="32"/>
          <w:szCs w:val="32"/>
          <w:highlight w:val="none"/>
          <w:lang w:val="en-US" w:eastAsia="zh-CN"/>
        </w:rPr>
      </w:pPr>
    </w:p>
    <w:p w14:paraId="7963054C">
      <w:pPr>
        <w:pStyle w:val="5"/>
        <w:jc w:val="both"/>
        <w:rPr>
          <w:rFonts w:hint="eastAsia" w:ascii="仿宋_GB2312" w:eastAsia="仿宋_GB2312" w:cs="宋体"/>
          <w:color w:val="auto"/>
          <w:sz w:val="32"/>
          <w:szCs w:val="32"/>
          <w:highlight w:val="none"/>
          <w:lang w:val="en-US" w:eastAsia="zh-CN"/>
        </w:rPr>
      </w:pPr>
    </w:p>
    <w:p w14:paraId="5C90FEA1">
      <w:pPr>
        <w:pStyle w:val="5"/>
        <w:jc w:val="both"/>
        <w:rPr>
          <w:rFonts w:hint="eastAsia" w:ascii="仿宋_GB2312" w:eastAsia="仿宋_GB2312" w:cs="宋体"/>
          <w:color w:val="auto"/>
          <w:sz w:val="32"/>
          <w:szCs w:val="32"/>
          <w:highlight w:val="none"/>
          <w:lang w:val="en-US" w:eastAsia="zh-CN"/>
        </w:rPr>
      </w:pPr>
    </w:p>
    <w:p w14:paraId="1948AFFA">
      <w:pPr>
        <w:pStyle w:val="5"/>
        <w:jc w:val="both"/>
        <w:rPr>
          <w:rFonts w:hint="eastAsia" w:ascii="仿宋_GB2312" w:eastAsia="仿宋_GB2312" w:cs="宋体"/>
          <w:color w:val="auto"/>
          <w:sz w:val="32"/>
          <w:szCs w:val="32"/>
          <w:highlight w:val="none"/>
          <w:lang w:val="en-US" w:eastAsia="zh-CN"/>
        </w:rPr>
      </w:pPr>
    </w:p>
    <w:p w14:paraId="5BF15C44">
      <w:pPr>
        <w:pStyle w:val="5"/>
        <w:jc w:val="both"/>
        <w:rPr>
          <w:rFonts w:hint="eastAsia" w:ascii="仿宋_GB2312" w:eastAsia="仿宋_GB2312" w:cs="宋体"/>
          <w:color w:val="auto"/>
          <w:sz w:val="32"/>
          <w:szCs w:val="32"/>
          <w:highlight w:val="none"/>
          <w:lang w:val="en-US" w:eastAsia="zh-CN"/>
        </w:rPr>
      </w:pPr>
    </w:p>
    <w:p w14:paraId="63E79169">
      <w:pPr>
        <w:pStyle w:val="5"/>
        <w:jc w:val="both"/>
        <w:rPr>
          <w:rFonts w:hint="eastAsia" w:ascii="仿宋_GB2312" w:eastAsia="仿宋_GB2312" w:cs="宋体"/>
          <w:color w:val="auto"/>
          <w:sz w:val="32"/>
          <w:szCs w:val="32"/>
          <w:highlight w:val="none"/>
          <w:lang w:val="en-US" w:eastAsia="zh-CN"/>
        </w:rPr>
      </w:pPr>
    </w:p>
    <w:p w14:paraId="0CA5D94C">
      <w:pPr>
        <w:pStyle w:val="5"/>
        <w:jc w:val="both"/>
        <w:rPr>
          <w:rFonts w:hint="eastAsia" w:ascii="仿宋_GB2312" w:eastAsia="仿宋_GB2312" w:cs="宋体"/>
          <w:color w:val="auto"/>
          <w:sz w:val="32"/>
          <w:szCs w:val="32"/>
          <w:highlight w:val="none"/>
          <w:lang w:val="en-US" w:eastAsia="zh-CN"/>
        </w:rPr>
      </w:pPr>
    </w:p>
    <w:p w14:paraId="47F74FB9">
      <w:pPr>
        <w:pStyle w:val="5"/>
        <w:jc w:val="both"/>
        <w:rPr>
          <w:rFonts w:hint="eastAsia" w:ascii="仿宋_GB2312" w:eastAsia="仿宋_GB2312" w:cs="宋体"/>
          <w:color w:val="auto"/>
          <w:sz w:val="32"/>
          <w:szCs w:val="32"/>
          <w:highlight w:val="none"/>
          <w:lang w:val="en-US" w:eastAsia="zh-CN"/>
        </w:rPr>
      </w:pPr>
    </w:p>
    <w:p w14:paraId="306BA8AE">
      <w:pPr>
        <w:pStyle w:val="5"/>
        <w:jc w:val="both"/>
        <w:rPr>
          <w:rFonts w:hint="eastAsia" w:ascii="仿宋_GB2312" w:eastAsia="仿宋_GB2312" w:cs="宋体"/>
          <w:color w:val="auto"/>
          <w:sz w:val="32"/>
          <w:szCs w:val="32"/>
          <w:highlight w:val="none"/>
          <w:lang w:val="en-US" w:eastAsia="zh-CN"/>
        </w:rPr>
      </w:pPr>
    </w:p>
    <w:p w14:paraId="0435BC3D">
      <w:pPr>
        <w:pStyle w:val="5"/>
        <w:jc w:val="both"/>
        <w:rPr>
          <w:rFonts w:hint="eastAsia" w:ascii="仿宋_GB2312" w:eastAsia="仿宋_GB2312" w:cs="宋体"/>
          <w:color w:val="auto"/>
          <w:sz w:val="32"/>
          <w:szCs w:val="32"/>
          <w:highlight w:val="none"/>
          <w:lang w:val="en-US" w:eastAsia="zh-CN"/>
        </w:rPr>
      </w:pPr>
    </w:p>
    <w:p w14:paraId="0BFDDD11">
      <w:pPr>
        <w:pStyle w:val="5"/>
        <w:jc w:val="both"/>
        <w:rPr>
          <w:rFonts w:hint="eastAsia" w:ascii="仿宋_GB2312" w:eastAsia="仿宋_GB2312" w:cs="宋体"/>
          <w:color w:val="auto"/>
          <w:sz w:val="32"/>
          <w:szCs w:val="32"/>
          <w:highlight w:val="none"/>
          <w:lang w:val="en-US" w:eastAsia="zh-CN"/>
        </w:rPr>
      </w:pPr>
    </w:p>
    <w:p w14:paraId="625ACC0E">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4FC24D4"/>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E923ED"/>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87365E3"/>
    <w:rsid w:val="29AE2A56"/>
    <w:rsid w:val="2C3529EE"/>
    <w:rsid w:val="2CCA628B"/>
    <w:rsid w:val="2D6B7155"/>
    <w:rsid w:val="2F2F3117"/>
    <w:rsid w:val="2FC44243"/>
    <w:rsid w:val="31092EA8"/>
    <w:rsid w:val="31B12793"/>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DD120F"/>
    <w:rsid w:val="46F74436"/>
    <w:rsid w:val="474B1D32"/>
    <w:rsid w:val="475D7492"/>
    <w:rsid w:val="482D6FF9"/>
    <w:rsid w:val="496140CE"/>
    <w:rsid w:val="4A663C18"/>
    <w:rsid w:val="4AE139DB"/>
    <w:rsid w:val="4B2941E0"/>
    <w:rsid w:val="4BDB0A24"/>
    <w:rsid w:val="4C31315D"/>
    <w:rsid w:val="4F6D75ED"/>
    <w:rsid w:val="51352B6B"/>
    <w:rsid w:val="53A17F68"/>
    <w:rsid w:val="53DB6C22"/>
    <w:rsid w:val="54B6568B"/>
    <w:rsid w:val="55085A60"/>
    <w:rsid w:val="55BB5978"/>
    <w:rsid w:val="59343196"/>
    <w:rsid w:val="599E0097"/>
    <w:rsid w:val="5ADB7D78"/>
    <w:rsid w:val="5C4B31D2"/>
    <w:rsid w:val="5D6C0A93"/>
    <w:rsid w:val="5D915A0E"/>
    <w:rsid w:val="5DBD061A"/>
    <w:rsid w:val="5E932E93"/>
    <w:rsid w:val="5F1D2B10"/>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0C5176"/>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38C6FB0"/>
    <w:rsid w:val="74664EBC"/>
    <w:rsid w:val="748E4735"/>
    <w:rsid w:val="74A2126A"/>
    <w:rsid w:val="761A5C47"/>
    <w:rsid w:val="77DC750A"/>
    <w:rsid w:val="77FA34D6"/>
    <w:rsid w:val="78024143"/>
    <w:rsid w:val="78F54CD1"/>
    <w:rsid w:val="799B64FC"/>
    <w:rsid w:val="7A4E1FBE"/>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6090</Words>
  <Characters>6310</Characters>
  <Lines>0</Lines>
  <Paragraphs>0</Paragraphs>
  <TotalTime>25</TotalTime>
  <ScaleCrop>false</ScaleCrop>
  <LinksUpToDate>false</LinksUpToDate>
  <CharactersWithSpaces>6958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2025-06-23T00:39:36Z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9F293AE8113B4504AEB0B1DB14A9F91C_13</vt:lpwstr>
  </property>
  <property fmtid="{D5CDD505-2E9C-101B-9397-08002B2CF9AE}" pid="4" name="KSOTemplateDocerSaveRecord">
    <vt:lpwstr>eyJoZGlkIjoiNzdkNTM4MTkwYTE0Yjk0Y2Y4MjVlZDcwOGViZTQwYjIiLCJ1c2VySWQiOiIxMTc2NDE1MTk0In0=</vt:lpwstr>
  </property>
</Properties>
</file>