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3221803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项目名称：医保自查信息化服务（第二次）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项目编号：BSRMYY-YNCG-2025-05006</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EF66B1B">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3"/>
        <w:tblW w:w="52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2"/>
        <w:gridCol w:w="3089"/>
        <w:gridCol w:w="2417"/>
        <w:gridCol w:w="2513"/>
        <w:gridCol w:w="1764"/>
      </w:tblGrid>
      <w:tr w14:paraId="10690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313" w:type="pct"/>
            <w:vAlign w:val="center"/>
          </w:tcPr>
          <w:p w14:paraId="4A029AA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480" w:type="pct"/>
            <w:vAlign w:val="center"/>
          </w:tcPr>
          <w:p w14:paraId="50E36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158" w:type="pct"/>
            <w:vAlign w:val="center"/>
          </w:tcPr>
          <w:p w14:paraId="399F3BF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总价最高限价（元）</w:t>
            </w:r>
          </w:p>
        </w:tc>
        <w:tc>
          <w:tcPr>
            <w:tcW w:w="1204" w:type="pct"/>
            <w:vAlign w:val="center"/>
          </w:tcPr>
          <w:p w14:paraId="60BBC92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履约</w:t>
            </w:r>
            <w:r>
              <w:rPr>
                <w:rFonts w:hint="eastAsia" w:ascii="方正仿宋_GBK" w:hAnsi="方正仿宋_GBK" w:eastAsia="方正仿宋_GBK" w:cs="方正仿宋_GBK"/>
                <w:b/>
                <w:bCs/>
                <w:kern w:val="0"/>
                <w:sz w:val="28"/>
                <w:szCs w:val="28"/>
                <w:highlight w:val="none"/>
                <w:lang w:eastAsia="zh-CN"/>
              </w:rPr>
              <w:t>保证金</w:t>
            </w:r>
          </w:p>
          <w:p w14:paraId="51FE25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eastAsia="zh-CN"/>
              </w:rPr>
              <w:t>（元）</w:t>
            </w:r>
          </w:p>
        </w:tc>
        <w:tc>
          <w:tcPr>
            <w:tcW w:w="842" w:type="pct"/>
            <w:vAlign w:val="center"/>
          </w:tcPr>
          <w:p w14:paraId="5445A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成交供应商数量（名）</w:t>
            </w:r>
          </w:p>
        </w:tc>
      </w:tr>
      <w:tr w14:paraId="683A9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13" w:type="pct"/>
            <w:vAlign w:val="center"/>
          </w:tcPr>
          <w:p w14:paraId="547CC2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480" w:type="pct"/>
            <w:vAlign w:val="center"/>
          </w:tcPr>
          <w:p w14:paraId="3A4DD3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医保自查信息化服务（第二次）</w:t>
            </w:r>
          </w:p>
        </w:tc>
        <w:tc>
          <w:tcPr>
            <w:tcW w:w="1158" w:type="pct"/>
            <w:vAlign w:val="center"/>
          </w:tcPr>
          <w:p w14:paraId="2E081FF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50000</w:t>
            </w:r>
          </w:p>
        </w:tc>
        <w:tc>
          <w:tcPr>
            <w:tcW w:w="1204" w:type="pct"/>
            <w:vAlign w:val="center"/>
          </w:tcPr>
          <w:p w14:paraId="7733E0A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3000</w:t>
            </w:r>
          </w:p>
        </w:tc>
        <w:tc>
          <w:tcPr>
            <w:tcW w:w="842" w:type="pct"/>
            <w:vAlign w:val="center"/>
          </w:tcPr>
          <w:p w14:paraId="21A9E9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1</w:t>
            </w:r>
          </w:p>
        </w:tc>
      </w:tr>
      <w:tr w14:paraId="3F84F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6FACC6F2">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50000元，包括但不限于使用期限内项目服务费（配套设备辅材费除外）、系统接口费、资料装订及邮寄费、税费、保密费等完成本项目所需的一切费用。因成交供应商自身原因造成漏报、少报皆由其自行承担责任，采购人不再补偿。</w:t>
            </w:r>
          </w:p>
        </w:tc>
      </w:tr>
    </w:tbl>
    <w:p w14:paraId="723D7FEC">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3"/>
        <w:tblW w:w="553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3"/>
        <w:gridCol w:w="2438"/>
        <w:gridCol w:w="2907"/>
        <w:gridCol w:w="1984"/>
        <w:gridCol w:w="2756"/>
      </w:tblGrid>
      <w:tr w14:paraId="6D6C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7" w:type="pct"/>
            <w:vAlign w:val="center"/>
          </w:tcPr>
          <w:p w14:paraId="1471F3D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117" w:type="pct"/>
            <w:vAlign w:val="center"/>
          </w:tcPr>
          <w:p w14:paraId="781E3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1332" w:type="pct"/>
            <w:vAlign w:val="center"/>
          </w:tcPr>
          <w:p w14:paraId="41DA3A1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c>
          <w:tcPr>
            <w:tcW w:w="909" w:type="pct"/>
            <w:vAlign w:val="center"/>
          </w:tcPr>
          <w:p w14:paraId="02C8A03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eastAsia="zh-CN"/>
              </w:rPr>
              <w:t>核心功能</w:t>
            </w:r>
          </w:p>
        </w:tc>
        <w:tc>
          <w:tcPr>
            <w:tcW w:w="1263" w:type="pct"/>
            <w:vAlign w:val="center"/>
          </w:tcPr>
          <w:p w14:paraId="48ECBA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指标参数</w:t>
            </w:r>
          </w:p>
        </w:tc>
      </w:tr>
      <w:tr w14:paraId="53BDA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8" w:hRule="atLeast"/>
          <w:jc w:val="center"/>
        </w:trPr>
        <w:tc>
          <w:tcPr>
            <w:tcW w:w="377" w:type="pct"/>
            <w:shd w:val="clear" w:color="auto" w:fill="auto"/>
            <w:vAlign w:val="center"/>
          </w:tcPr>
          <w:p w14:paraId="6303FD0A">
            <w:pPr>
              <w:pStyle w:val="25"/>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1117" w:type="pct"/>
            <w:shd w:val="clear" w:color="auto" w:fill="auto"/>
            <w:vAlign w:val="center"/>
          </w:tcPr>
          <w:p w14:paraId="5E5ACB0C">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医保自查信息化服务</w:t>
            </w:r>
          </w:p>
        </w:tc>
        <w:tc>
          <w:tcPr>
            <w:tcW w:w="1332" w:type="pct"/>
            <w:shd w:val="clear" w:color="auto" w:fill="auto"/>
            <w:vAlign w:val="center"/>
          </w:tcPr>
          <w:p w14:paraId="6E5FA4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1.提供覆盖违反医疗收费项目、医保限制性药品、限制性理疗项目、药品合理使用、进销存管理、合理检查、医疗行为等规则的疑点数据查询、导出等服务。</w:t>
            </w:r>
          </w:p>
          <w:p w14:paraId="4D2F4D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2.根据采购人需求，实时动态维护新的医保、物价规则库，采购人可以实时提取筛选数据，且具有数据疑点分析功能。</w:t>
            </w:r>
          </w:p>
          <w:p w14:paraId="5F5DD6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3.确保筛查信息化系统顺畅运行，发生故障时，积极组织尽快修复，保障用方正常使用。</w:t>
            </w:r>
          </w:p>
        </w:tc>
        <w:tc>
          <w:tcPr>
            <w:tcW w:w="909" w:type="pct"/>
            <w:shd w:val="clear" w:color="auto" w:fill="auto"/>
            <w:vAlign w:val="center"/>
          </w:tcPr>
          <w:p w14:paraId="0AE078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1.符合医保规范的大规模违规则模型（规则库覆盖医疗收费项目、药品合理使用、进销存管理、合理检查、医疗行为等）。</w:t>
            </w:r>
          </w:p>
          <w:p w14:paraId="5341BD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2.数据筛选规则即时更新迭代，既包括供应商能收集和采购人提供的，实现一键导入、保持规则最新。</w:t>
            </w:r>
          </w:p>
          <w:p w14:paraId="03479E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3.规则一次性导入长期使用，能灵活切换数据筛选规则。</w:t>
            </w:r>
          </w:p>
          <w:p w14:paraId="63647F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4.确保采购人的数据安全和系统安全。</w:t>
            </w:r>
          </w:p>
        </w:tc>
        <w:tc>
          <w:tcPr>
            <w:tcW w:w="1263" w:type="pct"/>
            <w:shd w:val="clear" w:color="auto" w:fill="auto"/>
            <w:vAlign w:val="center"/>
          </w:tcPr>
          <w:p w14:paraId="4679EF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1.系统响应时间小于500ms。</w:t>
            </w:r>
          </w:p>
          <w:p w14:paraId="446E58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2.规则覆盖医疗收费项目、药品合理使用、进销存管理、合理检查、医疗行为等。</w:t>
            </w:r>
          </w:p>
          <w:p w14:paraId="295ADC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3.规则内疑点筛查检出率大于99.9%。</w:t>
            </w:r>
          </w:p>
          <w:p w14:paraId="6618DA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4.有效的用户身份验证和权限管理。</w:t>
            </w:r>
          </w:p>
          <w:p w14:paraId="4F2667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5.在使用有效期内不限用户使用次数。</w:t>
            </w:r>
          </w:p>
          <w:p w14:paraId="55394D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6.系统故障率低于0.1%。</w:t>
            </w:r>
          </w:p>
          <w:p w14:paraId="611629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7.每年更新规则库至少五次。</w:t>
            </w:r>
          </w:p>
          <w:p w14:paraId="739983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8.用户数据保留在本地，保证数据隐私安全。</w:t>
            </w:r>
          </w:p>
        </w:tc>
      </w:tr>
    </w:tbl>
    <w:p w14:paraId="01142639">
      <w:pPr>
        <w:pStyle w:val="26"/>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7CEF6FB6">
      <w:pPr>
        <w:pStyle w:val="26"/>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7F090AD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0CB6D9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5B24CA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575F4F4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4C45285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71EC2D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2202C8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1B99E90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1.提供2024年至今2份类似项目的合同及验收记录；</w:t>
      </w:r>
    </w:p>
    <w:p w14:paraId="1AFDEA4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2.其他法律法规有关规范。</w:t>
      </w:r>
    </w:p>
    <w:p w14:paraId="101BAFF1">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57E8B91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50000元。报价要求：包括但不限于使用期限内项目服务费（配套设备辅材费除外）、系统接口费、资料装订及邮寄费、税费、保密费等完成本项目所需的一切费用。因成交供应商自身原因造成漏报、少报皆由其自行承担责任，采购人不再补偿。供应商报送总价不得超过采购人要求，否则视为无效报价。</w:t>
      </w:r>
    </w:p>
    <w:p w14:paraId="49381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0DCA6EE3">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本项目服务期限1年，成交供应商在接到成交通知后20日内与采购人签订采购合同和廉政购销协议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3825B1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164D3D5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p>
    <w:p w14:paraId="6910BA1D">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验收方式</w:t>
      </w:r>
    </w:p>
    <w:p w14:paraId="4ABF1D7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根据询价文件要求(包括完成时限、完成内容、完成质量)的项目逐项验收，验收产生争议由采购人择优选择第三方机构进行检测，验收费用由供应商承担。</w:t>
      </w:r>
    </w:p>
    <w:p w14:paraId="2A458FD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供应商对医保自查信息化系统的相关参数功能演示满足采购人需求后进行安装调试，安装调试完成试运行1个月无异常才作为最终验收。</w:t>
      </w:r>
    </w:p>
    <w:p w14:paraId="65D941F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6C831AB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1.市内已通报、下发的国家、市、区级医保违规问题筛出率大于99.9%；</w:t>
      </w:r>
    </w:p>
    <w:p w14:paraId="17F1ADB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2.覆盖医疗收费项目、医保限制性药品、限制性理疗项目、药品合理使用、进销存管理、合理检查、医疗行为等规则的疑点数据筛出率大于99.9%。</w:t>
      </w:r>
    </w:p>
    <w:p w14:paraId="5FF3ECB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以上规则筛出率低于90%及以下或筛查的数据错误等供应商原因给采购人造成损失的，履约保证金不予退还，如履约保证金不足以赔偿采购人损失的应补足损失。</w:t>
      </w:r>
    </w:p>
    <w:p w14:paraId="36714C7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446F0A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6670F0E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（八）履约保证金</w:t>
      </w:r>
    </w:p>
    <w:p w14:paraId="59632C9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合同签订前，成交供应商向采购人缴纳项目履约保证金5000元（形式可为现金、支票、汇款、银行保函等）。履约保障金将用于保障项目服务的及时性和完整性、保障服务质量（服务质量争议鉴定费用将优先从履约保证金中垫付）、售后服务、供应商履约期间廉洁自律、围标串标追责和其他违约时追责。供应商无上述行为，</w:t>
      </w:r>
      <w:r>
        <w:rPr>
          <w:rFonts w:hint="eastAsia" w:ascii="方正仿宋_GBK" w:hAnsi="方正仿宋_GBK" w:eastAsia="方正仿宋_GBK" w:cs="方正仿宋_GBK"/>
          <w:b w:val="0"/>
          <w:bCs w:val="0"/>
          <w:color w:val="auto"/>
          <w:kern w:val="0"/>
          <w:sz w:val="32"/>
          <w:szCs w:val="32"/>
          <w:highlight w:val="none"/>
          <w:lang w:val="en-US" w:eastAsia="zh-CN"/>
        </w:rPr>
        <w:t>服务期满双方无异议</w:t>
      </w:r>
      <w:r>
        <w:rPr>
          <w:rFonts w:hint="eastAsia" w:ascii="方正仿宋_GBK" w:hAnsi="方正仿宋_GBK" w:eastAsia="方正仿宋_GBK" w:cs="方正仿宋_GBK"/>
          <w:color w:val="auto"/>
          <w:sz w:val="32"/>
          <w:szCs w:val="32"/>
          <w:highlight w:val="none"/>
          <w:lang w:val="en-US" w:eastAsia="zh-CN"/>
        </w:rPr>
        <w:t>将一次性无息退还。如有上述行为除扣除履约保证金外，同时纳入采购人供应商不良执业记录进行管理。</w:t>
      </w:r>
    </w:p>
    <w:p w14:paraId="50EC9A4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（九）配套服务</w:t>
      </w:r>
    </w:p>
    <w:p w14:paraId="5E831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（1）保密要求</w:t>
      </w:r>
    </w:p>
    <w:p w14:paraId="6E4AA7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default" w:ascii="方正仿宋_GBK" w:hAnsi="方正仿宋_GBK" w:eastAsia="方正仿宋_GBK" w:cs="方正仿宋_GBK"/>
          <w:color w:val="auto"/>
          <w:kern w:val="2"/>
          <w:sz w:val="32"/>
          <w:szCs w:val="32"/>
          <w:highlight w:val="none"/>
          <w:lang w:val="en-US" w:eastAsia="zh-CN" w:bidi="zh-CN"/>
        </w:rPr>
        <w:t>保证用户数据隐私安全，</w:t>
      </w:r>
      <w:r>
        <w:rPr>
          <w:rFonts w:hint="eastAsia" w:ascii="方正仿宋_GBK" w:hAnsi="方正仿宋_GBK" w:eastAsia="方正仿宋_GBK" w:cs="方正仿宋_GBK"/>
          <w:color w:val="auto"/>
          <w:kern w:val="2"/>
          <w:sz w:val="32"/>
          <w:szCs w:val="32"/>
          <w:highlight w:val="none"/>
          <w:lang w:val="en-US" w:eastAsia="zh-CN" w:bidi="zh-CN"/>
        </w:rPr>
        <w:t>未经采购人允许，不得将服务内容提供给第三方，</w:t>
      </w:r>
      <w:r>
        <w:rPr>
          <w:rFonts w:hint="default" w:ascii="方正仿宋_GBK" w:hAnsi="方正仿宋_GBK" w:eastAsia="方正仿宋_GBK" w:cs="方正仿宋_GBK"/>
          <w:color w:val="auto"/>
          <w:kern w:val="2"/>
          <w:sz w:val="32"/>
          <w:szCs w:val="32"/>
          <w:highlight w:val="none"/>
          <w:lang w:val="en-US" w:eastAsia="zh-CN" w:bidi="zh-CN"/>
        </w:rPr>
        <w:t>因供方泄密造成的一切后果由供方承担</w:t>
      </w:r>
      <w:r>
        <w:rPr>
          <w:rFonts w:hint="eastAsia" w:ascii="方正仿宋_GBK" w:hAnsi="方正仿宋_GBK" w:eastAsia="方正仿宋_GBK" w:cs="方正仿宋_GBK"/>
          <w:color w:val="auto"/>
          <w:kern w:val="2"/>
          <w:sz w:val="32"/>
          <w:szCs w:val="32"/>
          <w:highlight w:val="none"/>
          <w:lang w:val="en-US" w:eastAsia="zh-CN" w:bidi="zh-CN"/>
        </w:rPr>
        <w:t>。</w:t>
      </w:r>
    </w:p>
    <w:p w14:paraId="58F9E2A4">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64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培训要求</w:t>
      </w:r>
    </w:p>
    <w:p w14:paraId="4E95D5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软件安装后至</w:t>
      </w:r>
      <w:r>
        <w:rPr>
          <w:rFonts w:hint="default" w:ascii="方正仿宋_GBK" w:hAnsi="方正仿宋_GBK" w:eastAsia="方正仿宋_GBK" w:cs="方正仿宋_GBK"/>
          <w:color w:val="auto"/>
          <w:kern w:val="2"/>
          <w:sz w:val="32"/>
          <w:szCs w:val="32"/>
          <w:highlight w:val="none"/>
          <w:lang w:val="en-US" w:eastAsia="zh-CN" w:bidi="zh-CN"/>
        </w:rPr>
        <w:t>使用前至少培训1次，</w:t>
      </w:r>
      <w:r>
        <w:rPr>
          <w:rFonts w:hint="eastAsia" w:ascii="方正仿宋_GBK" w:hAnsi="方正仿宋_GBK" w:eastAsia="方正仿宋_GBK" w:cs="方正仿宋_GBK"/>
          <w:color w:val="auto"/>
          <w:kern w:val="2"/>
          <w:sz w:val="32"/>
          <w:szCs w:val="32"/>
          <w:highlight w:val="none"/>
          <w:lang w:val="en-US" w:eastAsia="zh-CN" w:bidi="zh-CN"/>
        </w:rPr>
        <w:t>采购人使用人员须</w:t>
      </w:r>
      <w:r>
        <w:rPr>
          <w:rFonts w:hint="default" w:ascii="方正仿宋_GBK" w:hAnsi="方正仿宋_GBK" w:eastAsia="方正仿宋_GBK" w:cs="方正仿宋_GBK"/>
          <w:color w:val="auto"/>
          <w:kern w:val="2"/>
          <w:sz w:val="32"/>
          <w:szCs w:val="32"/>
          <w:highlight w:val="none"/>
          <w:lang w:val="en-US" w:eastAsia="zh-CN" w:bidi="zh-CN"/>
        </w:rPr>
        <w:t>均会操作。</w:t>
      </w:r>
    </w:p>
    <w:p w14:paraId="2C4F93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（3）电话咨询</w:t>
      </w:r>
    </w:p>
    <w:p w14:paraId="76CF95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6AE81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（十）违约责任</w:t>
      </w:r>
    </w:p>
    <w:p w14:paraId="1FF39F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提供服务，每延迟1日承担1000元违约金，超过20日，采购人有权单方面解除合同；项目验收不合格，采购人有权要求供应商整改，整改期限为10日，整改期限届满仍未完成的供应商每日支付合同总金额千分之三的违约金，超过20日未能完成整改，采购人有权解除合同；出现数据筛查错漏、数据泄露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供应商及其服务原因导致的不良事件造成采购人损失的，</w:t>
      </w:r>
      <w:r>
        <w:rPr>
          <w:rFonts w:hint="eastAsia" w:ascii="方正仿宋_GBK" w:hAnsi="方正仿宋_GBK" w:eastAsia="方正仿宋_GBK" w:cs="方正仿宋_GBK"/>
          <w:color w:val="auto"/>
          <w:sz w:val="32"/>
          <w:szCs w:val="32"/>
          <w:highlight w:val="none"/>
          <w:lang w:val="en-US" w:eastAsia="zh-CN"/>
        </w:rPr>
        <w:t>采购人有权单方面解除合同，视情节轻重追究供应商相应赔偿责任。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（十一）合同终止情形</w:t>
      </w:r>
    </w:p>
    <w:p w14:paraId="5BCED00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出现严重不良事件，合同周期内出现2次及以上系统故障、供应商维护不及时，廉洁违纪行为，供应商主动放弃等。</w:t>
      </w:r>
    </w:p>
    <w:p w14:paraId="4FC7973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（十二）中选标准</w:t>
      </w:r>
    </w:p>
    <w:p w14:paraId="60087E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（十三）其他要求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11.履约期内配套服务承诺</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12</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39EC70C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1.提供2024年至今2份类似项目的合同及验收记录；</w:t>
      </w:r>
    </w:p>
    <w:p w14:paraId="08490C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Arial" w:eastAsia="仿宋_GB2312" w:cstheme="minorBidi"/>
          <w:b/>
          <w:color w:val="auto"/>
          <w:kern w:val="2"/>
          <w:sz w:val="24"/>
          <w:szCs w:val="24"/>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2.其他法律法规有关规范。</w:t>
      </w: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28229747"/>
      <w:bookmarkStart w:id="2" w:name="_Toc156196472"/>
      <w:bookmarkStart w:id="3" w:name="_Toc237057793"/>
      <w:bookmarkStart w:id="4" w:name="_Toc173677399"/>
      <w:bookmarkStart w:id="5" w:name="_Toc128014297"/>
      <w:bookmarkStart w:id="6" w:name="_Toc175017344"/>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7"/>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7"/>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A75C603">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2FB69"/>
    <w:multiLevelType w:val="singleLevel"/>
    <w:tmpl w:val="8822FB69"/>
    <w:lvl w:ilvl="0" w:tentative="0">
      <w:start w:val="5"/>
      <w:numFmt w:val="chineseCounting"/>
      <w:suff w:val="nothing"/>
      <w:lvlText w:val="（%1）"/>
      <w:lvlJc w:val="left"/>
      <w:rPr>
        <w:rFonts w:hint="eastAsia"/>
      </w:rPr>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1648EC32"/>
    <w:multiLevelType w:val="singleLevel"/>
    <w:tmpl w:val="1648EC32"/>
    <w:lvl w:ilvl="0" w:tentative="0">
      <w:start w:val="2"/>
      <w:numFmt w:val="decimal"/>
      <w:suff w:val="nothing"/>
      <w:lvlText w:val="（%1）"/>
      <w:lvlJc w:val="left"/>
    </w:lvl>
  </w:abstractNum>
  <w:abstractNum w:abstractNumId="3">
    <w:nsid w:val="16796E28"/>
    <w:multiLevelType w:val="singleLevel"/>
    <w:tmpl w:val="16796E28"/>
    <w:lvl w:ilvl="0" w:tentative="0">
      <w:start w:val="2"/>
      <w:numFmt w:val="chineseCounting"/>
      <w:suff w:val="nothing"/>
      <w:lvlText w:val="%1、"/>
      <w:lvlJc w:val="left"/>
      <w:rPr>
        <w:rFonts w:hint="eastAsia"/>
      </w:rPr>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93E016B"/>
    <w:multiLevelType w:val="singleLevel"/>
    <w:tmpl w:val="593E016B"/>
    <w:lvl w:ilvl="0" w:tentative="0">
      <w:start w:val="1"/>
      <w:numFmt w:val="chineseCounting"/>
      <w:suff w:val="nothing"/>
      <w:lvlText w:val="%1、"/>
      <w:lvlJc w:val="left"/>
      <w:rPr>
        <w:rFonts w:hint="eastAsia"/>
      </w:rPr>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045CFA"/>
    <w:rsid w:val="056E5276"/>
    <w:rsid w:val="06FB539B"/>
    <w:rsid w:val="07F82B6D"/>
    <w:rsid w:val="0C872834"/>
    <w:rsid w:val="0C974041"/>
    <w:rsid w:val="0CB1115F"/>
    <w:rsid w:val="0CE64C8D"/>
    <w:rsid w:val="0D5C636E"/>
    <w:rsid w:val="0E2C2791"/>
    <w:rsid w:val="0E440BB0"/>
    <w:rsid w:val="0E6637FD"/>
    <w:rsid w:val="0E6753E5"/>
    <w:rsid w:val="0E9F1F75"/>
    <w:rsid w:val="0F3D73C4"/>
    <w:rsid w:val="0FAB7A71"/>
    <w:rsid w:val="0FD01451"/>
    <w:rsid w:val="10945E1E"/>
    <w:rsid w:val="11795E8A"/>
    <w:rsid w:val="122D0B62"/>
    <w:rsid w:val="133D5E0A"/>
    <w:rsid w:val="1922346A"/>
    <w:rsid w:val="19375EE1"/>
    <w:rsid w:val="1A1C7FE3"/>
    <w:rsid w:val="1AAE2C67"/>
    <w:rsid w:val="1AF86BE0"/>
    <w:rsid w:val="1B3306B6"/>
    <w:rsid w:val="1BDE0896"/>
    <w:rsid w:val="1CF00EFC"/>
    <w:rsid w:val="1DCB6BF8"/>
    <w:rsid w:val="1F2F00AB"/>
    <w:rsid w:val="20746E51"/>
    <w:rsid w:val="21426D4A"/>
    <w:rsid w:val="236757CC"/>
    <w:rsid w:val="23FB11F4"/>
    <w:rsid w:val="26541E80"/>
    <w:rsid w:val="29AE2A56"/>
    <w:rsid w:val="29F1586C"/>
    <w:rsid w:val="2C3529EE"/>
    <w:rsid w:val="2CC37769"/>
    <w:rsid w:val="2F2F3117"/>
    <w:rsid w:val="2FC44243"/>
    <w:rsid w:val="31092EA8"/>
    <w:rsid w:val="31E866CA"/>
    <w:rsid w:val="33AD5E1F"/>
    <w:rsid w:val="33FB61AD"/>
    <w:rsid w:val="342C6BC9"/>
    <w:rsid w:val="35761799"/>
    <w:rsid w:val="357C2FC3"/>
    <w:rsid w:val="35CA375F"/>
    <w:rsid w:val="376E6279"/>
    <w:rsid w:val="38A14340"/>
    <w:rsid w:val="396A2364"/>
    <w:rsid w:val="3A2C5456"/>
    <w:rsid w:val="3A8A6AFB"/>
    <w:rsid w:val="3B5B7766"/>
    <w:rsid w:val="3D8263F7"/>
    <w:rsid w:val="40611EDD"/>
    <w:rsid w:val="40824F75"/>
    <w:rsid w:val="439873F8"/>
    <w:rsid w:val="442069E9"/>
    <w:rsid w:val="44C5770F"/>
    <w:rsid w:val="44EF71C4"/>
    <w:rsid w:val="45170BAD"/>
    <w:rsid w:val="475D7492"/>
    <w:rsid w:val="482D6FF9"/>
    <w:rsid w:val="49470D20"/>
    <w:rsid w:val="496140CE"/>
    <w:rsid w:val="4AA416B0"/>
    <w:rsid w:val="4AE139DB"/>
    <w:rsid w:val="4B782C5C"/>
    <w:rsid w:val="4BDB0A24"/>
    <w:rsid w:val="4C31315D"/>
    <w:rsid w:val="4E3B1140"/>
    <w:rsid w:val="4E810949"/>
    <w:rsid w:val="4F6D75ED"/>
    <w:rsid w:val="51352B6B"/>
    <w:rsid w:val="520F495B"/>
    <w:rsid w:val="53A17F68"/>
    <w:rsid w:val="53DB6C22"/>
    <w:rsid w:val="55085A60"/>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6342AD"/>
    <w:rsid w:val="74D3615F"/>
    <w:rsid w:val="77991C4E"/>
    <w:rsid w:val="77FA34D6"/>
    <w:rsid w:val="78024143"/>
    <w:rsid w:val="78E24C9B"/>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5"/>
    <w:qFormat/>
    <w:uiPriority w:val="0"/>
    <w:rPr>
      <w:rFonts w:ascii="楷体" w:hAnsi="楷体" w:eastAsia="楷体" w:cs="楷体"/>
      <w:color w:val="000000"/>
      <w:sz w:val="22"/>
      <w:szCs w:val="22"/>
      <w:u w:val="none"/>
      <w:vertAlign w:val="superscript"/>
    </w:rPr>
  </w:style>
  <w:style w:type="character" w:customStyle="1" w:styleId="22">
    <w:name w:val="font21"/>
    <w:basedOn w:val="15"/>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3820</Words>
  <Characters>3927</Characters>
  <Lines>0</Lines>
  <Paragraphs>0</Paragraphs>
  <TotalTime>29</TotalTime>
  <ScaleCrop>false</ScaleCrop>
  <LinksUpToDate>false</LinksUpToDate>
  <CharactersWithSpaces>3927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2025-05-22T08:08:02Z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E02ABDD829CE4CDDA33FB45AC1B0E8A1_13</vt:lpwstr>
  </property>
  <property fmtid="{D5CDD505-2E9C-101B-9397-08002B2CF9AE}" pid="4" name="KSOTemplateDocerSaveRecord">
    <vt:lpwstr>eyJoZGlkIjoiNzdkNTM4MTkwYTE0Yjk0Y2Y4MjVlZDcwOGViZTQwYjIiLCJ1c2VySWQiOiIxMTc2NDE1MTk0In0=</vt:lpwstr>
  </property>
</Properties>
</file>