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项目名称：医学影像科定制家具</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项目编号：BSRMYY-YNCG-2024-07008</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4"/>
        <w:ind w:left="0" w:leftChars="0" w:firstLine="640" w:firstLineChars="200"/>
        <w:rPr>
          <w:rFonts w:hint="eastAsia" w:ascii="仿宋_GB2312" w:eastAsia="仿宋_GB2312" w:cs="宋体"/>
          <w:color w:val="auto"/>
          <w:sz w:val="32"/>
          <w:szCs w:val="32"/>
          <w:lang w:val="zh-CN" w:eastAsia="zh-CN"/>
        </w:rPr>
      </w:pPr>
      <w:r>
        <w:rPr>
          <w:rFonts w:hint="eastAsia" w:ascii="仿宋_GB2312" w:eastAsia="仿宋_GB2312" w:cs="宋体"/>
          <w:color w:val="auto"/>
          <w:sz w:val="32"/>
          <w:szCs w:val="32"/>
          <w:lang w:val="zh-CN" w:eastAsia="zh-CN"/>
        </w:rPr>
        <w:t>1.</w:t>
      </w:r>
      <w:r>
        <w:rPr>
          <w:rFonts w:hint="eastAsia" w:ascii="仿宋_GB2312" w:eastAsia="仿宋_GB2312" w:cs="宋体"/>
          <w:color w:val="auto"/>
          <w:sz w:val="32"/>
          <w:szCs w:val="32"/>
          <w:lang w:val="en-US" w:eastAsia="zh-CN"/>
        </w:rPr>
        <w:t>营业执照复印或扫描件（须圈出符合资质要求的经营范围和有效期，如医疗器械徐提供医疗器械销售资质）</w:t>
      </w:r>
      <w:r>
        <w:rPr>
          <w:rFonts w:hint="eastAsia" w:ascii="仿宋_GB2312" w:eastAsia="仿宋_GB2312" w:cs="宋体"/>
          <w:color w:val="auto"/>
          <w:sz w:val="32"/>
          <w:szCs w:val="32"/>
          <w:lang w:val="zh-CN" w:eastAsia="zh-CN"/>
        </w:rPr>
        <w:t>。</w:t>
      </w:r>
    </w:p>
    <w:p w14:paraId="690463A4">
      <w:pPr>
        <w:pStyle w:val="4"/>
        <w:ind w:left="0" w:leftChars="0" w:firstLine="640" w:firstLineChars="200"/>
        <w:rPr>
          <w:rFonts w:hint="eastAsia" w:ascii="仿宋_GB2312" w:eastAsia="仿宋_GB2312" w:cs="宋体"/>
          <w:color w:val="auto"/>
          <w:sz w:val="32"/>
          <w:szCs w:val="32"/>
          <w:lang w:val="zh-CN" w:eastAsia="zh-CN"/>
        </w:rPr>
      </w:pPr>
      <w:r>
        <w:rPr>
          <w:rFonts w:hint="eastAsia" w:ascii="仿宋_GB2312" w:eastAsia="仿宋_GB2312" w:cs="宋体"/>
          <w:color w:val="auto"/>
          <w:sz w:val="32"/>
          <w:szCs w:val="32"/>
          <w:lang w:val="en-US" w:eastAsia="zh-CN"/>
        </w:rPr>
        <w:t>2</w:t>
      </w: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项目情况介绍</w:t>
      </w:r>
      <w:r>
        <w:rPr>
          <w:rFonts w:hint="eastAsia" w:ascii="仿宋_GB2312" w:eastAsia="仿宋_GB2312" w:cs="宋体"/>
          <w:color w:val="auto"/>
          <w:sz w:val="32"/>
          <w:szCs w:val="32"/>
          <w:lang w:val="zh-CN" w:eastAsia="zh-CN"/>
        </w:rPr>
        <w:t>。</w:t>
      </w:r>
    </w:p>
    <w:p w14:paraId="2F2C23A5">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3.报价表</w:t>
      </w:r>
    </w:p>
    <w:p w14:paraId="43C523E5">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4.法人身份证明。</w:t>
      </w:r>
    </w:p>
    <w:p w14:paraId="61CD0941">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5.法人授权委托书。</w:t>
      </w:r>
    </w:p>
    <w:p w14:paraId="59F376B4">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6.本项目其他采购人的业绩资料（如合同或发票）。</w:t>
      </w:r>
    </w:p>
    <w:p w14:paraId="03C33BB9">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7.其他可以证明投标人有能力完成本项目的佐证材料（如供应商及生产厂家资料等）。</w:t>
      </w:r>
    </w:p>
    <w:p w14:paraId="5C345A40">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8.投标产品相关资料（合格证、产品参数性能彩页、检验检测报告、如医疗器械需提供医疗器械注册证或备案证等）。</w:t>
      </w:r>
    </w:p>
    <w:p w14:paraId="290FB1CA">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9.质保及售后服务承诺。</w:t>
      </w:r>
    </w:p>
    <w:p w14:paraId="2DB1FCFB">
      <w:pPr>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10.质保期后易损配件报价。</w:t>
      </w:r>
    </w:p>
    <w:p w14:paraId="510F0D4B">
      <w:pPr>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eastAsia="仿宋_GB2312" w:cs="宋体"/>
          <w:color w:val="auto"/>
          <w:sz w:val="32"/>
          <w:szCs w:val="32"/>
          <w:lang w:val="en-US" w:eastAsia="zh-CN"/>
        </w:rPr>
        <w:t>11.</w:t>
      </w:r>
      <w:r>
        <w:rPr>
          <w:rFonts w:hint="eastAsia" w:ascii="仿宋_GB2312" w:hAnsi="宋体" w:eastAsia="仿宋_GB2312" w:cs="宋体"/>
          <w:color w:val="auto"/>
          <w:sz w:val="32"/>
          <w:szCs w:val="32"/>
          <w:lang w:val="en-US" w:eastAsia="zh-CN"/>
        </w:rPr>
        <w:t>投标廉政承诺。</w:t>
      </w:r>
    </w:p>
    <w:p w14:paraId="6BB1226A">
      <w:pPr>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12.密封档案袋格式要求。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404B8424">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一、公司营业执照（须圈出符合资质要求的经营范围和有效期）</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00" w:firstLineChars="200"/>
        <w:jc w:val="both"/>
        <w:textAlignment w:val="auto"/>
        <w:outlineLvl w:val="9"/>
        <w:rPr>
          <w:rFonts w:hint="eastAsia" w:ascii="微软雅黑" w:hAnsi="微软雅黑" w:eastAsia="微软雅黑" w:cs="微软雅黑"/>
          <w:color w:val="auto"/>
          <w:sz w:val="30"/>
          <w:szCs w:val="30"/>
        </w:rPr>
      </w:pPr>
      <w:r>
        <w:rPr>
          <w:rFonts w:hint="eastAsia" w:ascii="微软雅黑" w:hAnsi="微软雅黑" w:eastAsia="微软雅黑" w:cs="微软雅黑"/>
          <w:color w:val="auto"/>
          <w:sz w:val="30"/>
          <w:szCs w:val="30"/>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3DB3CB3">
      <w:pPr>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二、项目基本情况            </w:t>
      </w:r>
      <w:r>
        <w:rPr>
          <w:rFonts w:hint="eastAsia" w:ascii="仿宋" w:hAnsi="仿宋" w:eastAsia="仿宋" w:cs="仿宋"/>
          <w:b/>
          <w:bCs/>
          <w:color w:val="auto"/>
          <w:sz w:val="36"/>
          <w:szCs w:val="24"/>
          <w:lang w:val="en-US" w:eastAsia="zh-CN"/>
        </w:rPr>
        <w:t xml:space="preserve">     </w:t>
      </w:r>
    </w:p>
    <w:p w14:paraId="7861E80C">
      <w:pPr>
        <w:pStyle w:val="17"/>
        <w:rPr>
          <w:rFonts w:hint="eastAsia"/>
          <w:lang w:val="en-US" w:eastAsia="zh-CN"/>
        </w:rPr>
      </w:pPr>
    </w:p>
    <w:tbl>
      <w:tblPr>
        <w:tblStyle w:val="12"/>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71"/>
        <w:gridCol w:w="4875"/>
        <w:gridCol w:w="1010"/>
        <w:gridCol w:w="5"/>
        <w:gridCol w:w="474"/>
        <w:gridCol w:w="980"/>
        <w:gridCol w:w="1612"/>
      </w:tblGrid>
      <w:tr w14:paraId="2C87D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488" w:type="dxa"/>
            <w:gridSpan w:val="8"/>
            <w:tcBorders>
              <w:top w:val="single" w:color="auto" w:sz="4" w:space="0"/>
              <w:left w:val="single" w:color="auto" w:sz="4" w:space="0"/>
            </w:tcBorders>
            <w:vAlign w:val="center"/>
          </w:tcPr>
          <w:p w14:paraId="7D9440B1">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32"/>
                <w:szCs w:val="32"/>
                <w:lang w:val="en-US" w:eastAsia="zh-CN"/>
              </w:rPr>
              <w:t>采购人需求</w:t>
            </w:r>
          </w:p>
        </w:tc>
      </w:tr>
      <w:tr w14:paraId="61D9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488" w:type="dxa"/>
            <w:gridSpan w:val="8"/>
            <w:tcBorders>
              <w:top w:val="single" w:color="auto" w:sz="4" w:space="0"/>
              <w:left w:val="single" w:color="auto" w:sz="4" w:space="0"/>
            </w:tcBorders>
            <w:vAlign w:val="center"/>
          </w:tcPr>
          <w:p w14:paraId="79907C75">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（一）技术参数</w:t>
            </w:r>
          </w:p>
        </w:tc>
      </w:tr>
      <w:tr w14:paraId="69FC4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61" w:type="dxa"/>
            <w:tcBorders>
              <w:top w:val="single" w:color="auto" w:sz="4" w:space="0"/>
              <w:left w:val="single" w:color="auto" w:sz="4" w:space="0"/>
              <w:right w:val="single" w:color="auto" w:sz="4" w:space="0"/>
            </w:tcBorders>
            <w:vAlign w:val="center"/>
          </w:tcPr>
          <w:p w14:paraId="492B2191">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序号</w:t>
            </w:r>
          </w:p>
        </w:tc>
        <w:tc>
          <w:tcPr>
            <w:tcW w:w="971" w:type="dxa"/>
            <w:tcBorders>
              <w:top w:val="single" w:color="auto" w:sz="4" w:space="0"/>
              <w:left w:val="single" w:color="auto" w:sz="4" w:space="0"/>
              <w:right w:val="single" w:color="auto" w:sz="4" w:space="0"/>
            </w:tcBorders>
            <w:vAlign w:val="center"/>
          </w:tcPr>
          <w:p w14:paraId="4E9DC8F3">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产品</w:t>
            </w:r>
            <w:r>
              <w:rPr>
                <w:rFonts w:hint="eastAsia" w:ascii="Times New Roman" w:hAnsi="Times New Roman" w:eastAsia="仿宋" w:cs="Times New Roman"/>
                <w:b/>
                <w:kern w:val="0"/>
                <w:sz w:val="24"/>
                <w:szCs w:val="24"/>
                <w:lang w:val="en-US" w:eastAsia="zh-CN"/>
              </w:rPr>
              <w:t>名称</w:t>
            </w:r>
          </w:p>
        </w:tc>
        <w:tc>
          <w:tcPr>
            <w:tcW w:w="4875" w:type="dxa"/>
            <w:vAlign w:val="center"/>
          </w:tcPr>
          <w:p w14:paraId="2EFEF45C">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rPr>
              <w:t>参数要求</w:t>
            </w:r>
            <w:r>
              <w:rPr>
                <w:rFonts w:hint="eastAsia" w:ascii="Times New Roman" w:hAnsi="Times New Roman" w:eastAsia="仿宋" w:cs="Times New Roman"/>
                <w:b/>
                <w:bCs w:val="0"/>
                <w:kern w:val="0"/>
                <w:sz w:val="24"/>
                <w:szCs w:val="24"/>
                <w:lang w:val="en-US" w:eastAsia="zh-CN"/>
              </w:rPr>
              <w:t>（须完全响应）</w:t>
            </w:r>
          </w:p>
        </w:tc>
        <w:tc>
          <w:tcPr>
            <w:tcW w:w="1010" w:type="dxa"/>
            <w:vAlign w:val="center"/>
          </w:tcPr>
          <w:p w14:paraId="740E7BC0">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规格</w:t>
            </w:r>
          </w:p>
        </w:tc>
        <w:tc>
          <w:tcPr>
            <w:tcW w:w="479" w:type="dxa"/>
            <w:gridSpan w:val="2"/>
            <w:vAlign w:val="center"/>
          </w:tcPr>
          <w:p w14:paraId="0C7BE3BE">
            <w:pPr>
              <w:widowControl/>
              <w:spacing w:line="360" w:lineRule="auto"/>
              <w:jc w:val="center"/>
              <w:rPr>
                <w:rFonts w:hint="default" w:eastAsia="仿宋" w:cs="Times New Roman"/>
                <w:b/>
                <w:kern w:val="0"/>
                <w:sz w:val="24"/>
                <w:szCs w:val="24"/>
                <w:lang w:val="en-US" w:eastAsia="zh-CN"/>
              </w:rPr>
            </w:pPr>
            <w:r>
              <w:rPr>
                <w:rFonts w:hint="eastAsia" w:eastAsia="仿宋" w:cs="Times New Roman"/>
                <w:b/>
                <w:kern w:val="0"/>
                <w:sz w:val="24"/>
                <w:szCs w:val="24"/>
                <w:lang w:val="en-US" w:eastAsia="zh-CN"/>
              </w:rPr>
              <w:t>数量</w:t>
            </w:r>
          </w:p>
        </w:tc>
        <w:tc>
          <w:tcPr>
            <w:tcW w:w="980" w:type="dxa"/>
            <w:vAlign w:val="center"/>
          </w:tcPr>
          <w:p w14:paraId="6EA7F1D2">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最高单价（元）</w:t>
            </w:r>
          </w:p>
        </w:tc>
        <w:tc>
          <w:tcPr>
            <w:tcW w:w="1612" w:type="dxa"/>
            <w:vAlign w:val="center"/>
          </w:tcPr>
          <w:p w14:paraId="062DA5CC">
            <w:pPr>
              <w:widowControl/>
              <w:spacing w:line="360" w:lineRule="auto"/>
              <w:jc w:val="center"/>
              <w:rPr>
                <w:rFonts w:hint="default" w:eastAsia="仿宋" w:cs="Times New Roman"/>
                <w:b/>
                <w:kern w:val="0"/>
                <w:sz w:val="24"/>
                <w:szCs w:val="24"/>
                <w:lang w:val="en-US" w:eastAsia="zh-CN"/>
              </w:rPr>
            </w:pPr>
            <w:r>
              <w:rPr>
                <w:rFonts w:hint="eastAsia" w:eastAsia="仿宋" w:cs="Times New Roman"/>
                <w:b/>
                <w:kern w:val="0"/>
                <w:sz w:val="24"/>
                <w:szCs w:val="24"/>
                <w:lang w:val="en-US" w:eastAsia="zh-CN"/>
              </w:rPr>
              <w:t>备注</w:t>
            </w:r>
          </w:p>
        </w:tc>
      </w:tr>
      <w:tr w14:paraId="424C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14:paraId="64EB11FE">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w:t>
            </w:r>
          </w:p>
        </w:tc>
        <w:tc>
          <w:tcPr>
            <w:tcW w:w="971" w:type="dxa"/>
            <w:tcBorders>
              <w:top w:val="single" w:color="auto" w:sz="4" w:space="0"/>
              <w:left w:val="single" w:color="auto" w:sz="4" w:space="0"/>
              <w:bottom w:val="single" w:color="auto" w:sz="4" w:space="0"/>
              <w:right w:val="single" w:color="auto" w:sz="4" w:space="0"/>
            </w:tcBorders>
            <w:vAlign w:val="center"/>
          </w:tcPr>
          <w:p w14:paraId="6A02AB8C">
            <w:pPr>
              <w:keepNext w:val="0"/>
              <w:keepLines w:val="0"/>
              <w:widowControl/>
              <w:suppressLineNumbers w:val="0"/>
              <w:jc w:val="center"/>
              <w:textAlignment w:val="center"/>
              <w:rPr>
                <w:rFonts w:hint="default" w:ascii="Times New Roman" w:hAnsi="Times New Roman" w:eastAsia="仿宋" w:cs="Times New Roman"/>
                <w:b/>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会议桌</w:t>
            </w:r>
          </w:p>
        </w:tc>
        <w:tc>
          <w:tcPr>
            <w:tcW w:w="4875" w:type="dxa"/>
            <w:vAlign w:val="center"/>
          </w:tcPr>
          <w:p w14:paraId="7F5303BA">
            <w:pPr>
              <w:keepNext w:val="0"/>
              <w:keepLines w:val="0"/>
              <w:widowControl/>
              <w:suppressLineNumbers w:val="0"/>
              <w:jc w:val="left"/>
              <w:textAlignment w:val="center"/>
              <w:rPr>
                <w:rFonts w:hint="default" w:ascii="Times New Roman" w:hAnsi="Times New Roman" w:eastAsia="仿宋" w:cs="Times New Roman"/>
                <w:b/>
                <w:kern w:val="0"/>
                <w:sz w:val="24"/>
                <w:szCs w:val="24"/>
                <w:lang w:val="en-US" w:eastAsia="zh-CN"/>
              </w:rPr>
            </w:pPr>
            <w:r>
              <w:rPr>
                <w:rFonts w:hint="eastAsia" w:ascii="宋体" w:hAnsi="宋体" w:eastAsia="宋体" w:cs="宋体"/>
                <w:i w:val="0"/>
                <w:iCs w:val="0"/>
                <w:color w:val="000000"/>
                <w:kern w:val="0"/>
                <w:sz w:val="20"/>
                <w:szCs w:val="20"/>
                <w:u w:val="none"/>
                <w:lang w:val="en-US" w:eastAsia="zh-CN" w:bidi="ar"/>
              </w:rPr>
              <w:t>1、基材采用E1级环保实木颗粒板，表面由环保树脂保护工艺层打造，具有抗划伤、防火耐高温、耐磨损、零渗透易清洁等特点。会议桌采用双层设计，中间带储物空间。圆角桌面工艺，避免磕碰。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2、封边：成都“硕泰”牌或同等价位品牌2MM厚PVC全自动机械热熔封边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3、五金：广东东泰或同等价位品牌五金配件，美观经久耐用。</w:t>
            </w:r>
          </w:p>
        </w:tc>
        <w:tc>
          <w:tcPr>
            <w:tcW w:w="1010" w:type="dxa"/>
            <w:vAlign w:val="center"/>
          </w:tcPr>
          <w:p w14:paraId="53B6D9FA">
            <w:pPr>
              <w:keepNext w:val="0"/>
              <w:keepLines w:val="0"/>
              <w:widowControl/>
              <w:suppressLineNumbers w:val="0"/>
              <w:jc w:val="center"/>
              <w:textAlignment w:val="center"/>
              <w:rPr>
                <w:rFonts w:hint="default" w:ascii="Times New Roman" w:hAnsi="Times New Roman" w:eastAsia="仿宋" w:cs="Times New Roman"/>
                <w:b/>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4000*1600*750mm</w:t>
            </w:r>
          </w:p>
        </w:tc>
        <w:tc>
          <w:tcPr>
            <w:tcW w:w="479" w:type="dxa"/>
            <w:gridSpan w:val="2"/>
            <w:vAlign w:val="center"/>
          </w:tcPr>
          <w:p w14:paraId="10CB03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1张</w:t>
            </w:r>
          </w:p>
        </w:tc>
        <w:tc>
          <w:tcPr>
            <w:tcW w:w="980" w:type="dxa"/>
            <w:vAlign w:val="center"/>
          </w:tcPr>
          <w:p w14:paraId="00770741">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4400</w:t>
            </w:r>
          </w:p>
        </w:tc>
        <w:tc>
          <w:tcPr>
            <w:tcW w:w="1612" w:type="dxa"/>
            <w:vAlign w:val="center"/>
          </w:tcPr>
          <w:p w14:paraId="139CE510">
            <w:pPr>
              <w:keepNext w:val="0"/>
              <w:keepLines w:val="0"/>
              <w:widowControl/>
              <w:suppressLineNumbers w:val="0"/>
              <w:jc w:val="center"/>
              <w:textAlignment w:val="center"/>
              <w:rPr>
                <w:rFonts w:hint="default" w:ascii="Times New Roman" w:hAnsi="Times New Roman" w:eastAsia="仿宋" w:cs="Times New Roman"/>
                <w:b/>
                <w:kern w:val="0"/>
                <w:sz w:val="24"/>
                <w:szCs w:val="24"/>
                <w:lang w:val="en-US" w:eastAsia="zh-CN"/>
              </w:rPr>
            </w:pPr>
            <w:r>
              <w:rPr>
                <w:rFonts w:hint="eastAsia" w:ascii="宋体" w:hAnsi="宋体" w:eastAsia="宋体" w:cs="宋体"/>
                <w:b/>
                <w:bCs/>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-23495</wp:posOffset>
                  </wp:positionH>
                  <wp:positionV relativeFrom="paragraph">
                    <wp:posOffset>194945</wp:posOffset>
                  </wp:positionV>
                  <wp:extent cx="1052195" cy="640715"/>
                  <wp:effectExtent l="0" t="0" r="14605" b="6985"/>
                  <wp:wrapNone/>
                  <wp:docPr id="8" name="图片_1"/>
                  <wp:cNvGraphicFramePr/>
                  <a:graphic xmlns:a="http://schemas.openxmlformats.org/drawingml/2006/main">
                    <a:graphicData uri="http://schemas.openxmlformats.org/drawingml/2006/picture">
                      <pic:pic xmlns:pic="http://schemas.openxmlformats.org/drawingml/2006/picture">
                        <pic:nvPicPr>
                          <pic:cNvPr id="8" name="图片_1"/>
                          <pic:cNvPicPr/>
                        </pic:nvPicPr>
                        <pic:blipFill>
                          <a:blip r:embed="rId4"/>
                          <a:stretch>
                            <a:fillRect/>
                          </a:stretch>
                        </pic:blipFill>
                        <pic:spPr>
                          <a:xfrm>
                            <a:off x="0" y="0"/>
                            <a:ext cx="1052195" cy="640715"/>
                          </a:xfrm>
                          <a:prstGeom prst="rect">
                            <a:avLst/>
                          </a:prstGeom>
                          <a:noFill/>
                          <a:ln>
                            <a:noFill/>
                          </a:ln>
                        </pic:spPr>
                      </pic:pic>
                    </a:graphicData>
                  </a:graphic>
                </wp:anchor>
              </w:drawing>
            </w:r>
          </w:p>
        </w:tc>
      </w:tr>
      <w:tr w14:paraId="6244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14:paraId="29F35BF8">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2</w:t>
            </w:r>
          </w:p>
        </w:tc>
        <w:tc>
          <w:tcPr>
            <w:tcW w:w="971" w:type="dxa"/>
            <w:tcBorders>
              <w:top w:val="single" w:color="auto" w:sz="4" w:space="0"/>
              <w:left w:val="single" w:color="auto" w:sz="4" w:space="0"/>
              <w:bottom w:val="single" w:color="auto" w:sz="4" w:space="0"/>
              <w:right w:val="single" w:color="auto" w:sz="4" w:space="0"/>
            </w:tcBorders>
            <w:vAlign w:val="center"/>
          </w:tcPr>
          <w:p w14:paraId="5054B58E">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会议椅</w:t>
            </w:r>
          </w:p>
        </w:tc>
        <w:tc>
          <w:tcPr>
            <w:tcW w:w="4875" w:type="dxa"/>
            <w:vAlign w:val="center"/>
          </w:tcPr>
          <w:p w14:paraId="51E44318">
            <w:pPr>
              <w:keepNext w:val="0"/>
              <w:keepLines w:val="0"/>
              <w:widowControl/>
              <w:suppressLineNumbers w:val="0"/>
              <w:jc w:val="left"/>
              <w:textAlignment w:val="center"/>
              <w:rPr>
                <w:rFonts w:hint="default"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1、靠背/座板：椅背椅座采用同一种优质双层网布，具有较强的延伸性和弹性，透气性好，手感好，结实，座内衬优质高密度高弹性聚氨酯定型海绵，久座舒适。黑色。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2、椅脚架采用直径28mm，厚2.5mm经CNC一次弯制而成,表面黑色环保处理，稳固。</w:t>
            </w:r>
          </w:p>
        </w:tc>
        <w:tc>
          <w:tcPr>
            <w:tcW w:w="1010" w:type="dxa"/>
            <w:vAlign w:val="center"/>
          </w:tcPr>
          <w:p w14:paraId="56ABE73D">
            <w:pPr>
              <w:keepNext w:val="0"/>
              <w:keepLines w:val="0"/>
              <w:widowControl/>
              <w:suppressLineNumbers w:val="0"/>
              <w:jc w:val="center"/>
              <w:textAlignment w:val="center"/>
              <w:rPr>
                <w:rFonts w:hint="default"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常规</w:t>
            </w:r>
          </w:p>
        </w:tc>
        <w:tc>
          <w:tcPr>
            <w:tcW w:w="479" w:type="dxa"/>
            <w:gridSpan w:val="2"/>
            <w:vAlign w:val="center"/>
          </w:tcPr>
          <w:p w14:paraId="11AC2B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14张</w:t>
            </w:r>
          </w:p>
        </w:tc>
        <w:tc>
          <w:tcPr>
            <w:tcW w:w="980" w:type="dxa"/>
            <w:vAlign w:val="center"/>
          </w:tcPr>
          <w:p w14:paraId="110D8B42">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380</w:t>
            </w:r>
          </w:p>
        </w:tc>
        <w:tc>
          <w:tcPr>
            <w:tcW w:w="1612" w:type="dxa"/>
            <w:vAlign w:val="center"/>
          </w:tcPr>
          <w:p w14:paraId="16CC9DC0">
            <w:pPr>
              <w:keepNext w:val="0"/>
              <w:keepLines w:val="0"/>
              <w:widowControl/>
              <w:suppressLineNumbers w:val="0"/>
              <w:jc w:val="center"/>
              <w:textAlignment w:val="center"/>
              <w:rPr>
                <w:rFonts w:hint="default" w:eastAsiaTheme="minorEastAsia"/>
                <w:sz w:val="32"/>
                <w:szCs w:val="32"/>
                <w:lang w:val="en-US" w:eastAsia="zh-CN"/>
              </w:rPr>
            </w:pPr>
            <w:r>
              <w:rPr>
                <w:rFonts w:hint="eastAsia" w:ascii="宋体" w:hAnsi="宋体" w:eastAsia="宋体" w:cs="宋体"/>
                <w:b/>
                <w:bCs/>
                <w:i w:val="0"/>
                <w:iCs w:val="0"/>
                <w:color w:val="000000"/>
                <w:kern w:val="0"/>
                <w:sz w:val="24"/>
                <w:szCs w:val="24"/>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11430</wp:posOffset>
                  </wp:positionH>
                  <wp:positionV relativeFrom="paragraph">
                    <wp:posOffset>66040</wp:posOffset>
                  </wp:positionV>
                  <wp:extent cx="836930" cy="927735"/>
                  <wp:effectExtent l="0" t="0" r="1270" b="5715"/>
                  <wp:wrapNone/>
                  <wp:docPr id="9" name="图片_2"/>
                  <wp:cNvGraphicFramePr/>
                  <a:graphic xmlns:a="http://schemas.openxmlformats.org/drawingml/2006/main">
                    <a:graphicData uri="http://schemas.openxmlformats.org/drawingml/2006/picture">
                      <pic:pic xmlns:pic="http://schemas.openxmlformats.org/drawingml/2006/picture">
                        <pic:nvPicPr>
                          <pic:cNvPr id="9" name="图片_2"/>
                          <pic:cNvPicPr/>
                        </pic:nvPicPr>
                        <pic:blipFill>
                          <a:blip r:embed="rId5"/>
                          <a:stretch>
                            <a:fillRect/>
                          </a:stretch>
                        </pic:blipFill>
                        <pic:spPr>
                          <a:xfrm>
                            <a:off x="0" y="0"/>
                            <a:ext cx="836930" cy="927735"/>
                          </a:xfrm>
                          <a:prstGeom prst="rect">
                            <a:avLst/>
                          </a:prstGeom>
                          <a:noFill/>
                          <a:ln>
                            <a:noFill/>
                          </a:ln>
                        </pic:spPr>
                      </pic:pic>
                    </a:graphicData>
                  </a:graphic>
                </wp:anchor>
              </w:drawing>
            </w:r>
          </w:p>
        </w:tc>
      </w:tr>
      <w:tr w14:paraId="6646D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14:paraId="08577144">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3</w:t>
            </w:r>
          </w:p>
        </w:tc>
        <w:tc>
          <w:tcPr>
            <w:tcW w:w="971" w:type="dxa"/>
            <w:tcBorders>
              <w:top w:val="single" w:color="auto" w:sz="4" w:space="0"/>
              <w:left w:val="single" w:color="auto" w:sz="4" w:space="0"/>
              <w:bottom w:val="single" w:color="auto" w:sz="4" w:space="0"/>
              <w:right w:val="single" w:color="auto" w:sz="4" w:space="0"/>
            </w:tcBorders>
            <w:vAlign w:val="center"/>
          </w:tcPr>
          <w:p w14:paraId="59FA1CD6">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培训椅</w:t>
            </w:r>
          </w:p>
        </w:tc>
        <w:tc>
          <w:tcPr>
            <w:tcW w:w="4875" w:type="dxa"/>
            <w:vAlign w:val="center"/>
          </w:tcPr>
          <w:p w14:paraId="70134168">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1、靠背/座板：椅背椅座采用优质双层网布，具有较强的延伸性和弹性，透气性好，手感好，结实，座内衬优质高密度高回弹海绵，久座舒适。黑色。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2、框架及扶手面都采用优质的原生PP材质一体注塑，稳固耐用。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3、钢制支撑杆，加固铝合金旋转底托和增强PP打造的多功能写字板，承重力强，结实稳固支撑耐用不变形，伸缩杯架，笔槽设计。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4、加厚1.2mm钢制椅架，稳定三点支撑，承重力强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5、可折叠，方便收纳。</w:t>
            </w:r>
          </w:p>
        </w:tc>
        <w:tc>
          <w:tcPr>
            <w:tcW w:w="1010" w:type="dxa"/>
            <w:vAlign w:val="center"/>
          </w:tcPr>
          <w:p w14:paraId="6BADB11B">
            <w:pPr>
              <w:keepNext w:val="0"/>
              <w:keepLines w:val="0"/>
              <w:widowControl/>
              <w:suppressLineNumbers w:val="0"/>
              <w:jc w:val="center"/>
              <w:textAlignment w:val="center"/>
              <w:rPr>
                <w:rFonts w:hint="default"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常规</w:t>
            </w:r>
          </w:p>
        </w:tc>
        <w:tc>
          <w:tcPr>
            <w:tcW w:w="479" w:type="dxa"/>
            <w:gridSpan w:val="2"/>
            <w:vAlign w:val="center"/>
          </w:tcPr>
          <w:p w14:paraId="2BEAE5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40张</w:t>
            </w:r>
          </w:p>
        </w:tc>
        <w:tc>
          <w:tcPr>
            <w:tcW w:w="980" w:type="dxa"/>
            <w:vAlign w:val="center"/>
          </w:tcPr>
          <w:p w14:paraId="57394A9D">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300</w:t>
            </w:r>
          </w:p>
        </w:tc>
        <w:tc>
          <w:tcPr>
            <w:tcW w:w="1612" w:type="dxa"/>
            <w:vAlign w:val="center"/>
          </w:tcPr>
          <w:p w14:paraId="55CE5C1B">
            <w:pPr>
              <w:keepNext w:val="0"/>
              <w:keepLines w:val="0"/>
              <w:widowControl/>
              <w:suppressLineNumbers w:val="0"/>
              <w:jc w:val="center"/>
              <w:textAlignment w:val="center"/>
              <w:rPr>
                <w:rFonts w:hint="default"/>
                <w:sz w:val="32"/>
                <w:szCs w:val="32"/>
                <w:lang w:val="en-US"/>
              </w:rPr>
            </w:pPr>
            <w:r>
              <w:rPr>
                <w:rFonts w:hint="eastAsia" w:ascii="宋体" w:hAnsi="宋体" w:eastAsia="宋体" w:cs="宋体"/>
                <w:b/>
                <w:bCs/>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115570</wp:posOffset>
                  </wp:positionH>
                  <wp:positionV relativeFrom="paragraph">
                    <wp:posOffset>109220</wp:posOffset>
                  </wp:positionV>
                  <wp:extent cx="768985" cy="956310"/>
                  <wp:effectExtent l="0" t="0" r="12065" b="15240"/>
                  <wp:wrapNone/>
                  <wp:docPr id="10" name="图片_1_SpCnt_1"/>
                  <wp:cNvGraphicFramePr/>
                  <a:graphic xmlns:a="http://schemas.openxmlformats.org/drawingml/2006/main">
                    <a:graphicData uri="http://schemas.openxmlformats.org/drawingml/2006/picture">
                      <pic:pic xmlns:pic="http://schemas.openxmlformats.org/drawingml/2006/picture">
                        <pic:nvPicPr>
                          <pic:cNvPr id="10" name="图片_1_SpCnt_1"/>
                          <pic:cNvPicPr/>
                        </pic:nvPicPr>
                        <pic:blipFill>
                          <a:blip r:embed="rId6"/>
                          <a:stretch>
                            <a:fillRect/>
                          </a:stretch>
                        </pic:blipFill>
                        <pic:spPr>
                          <a:xfrm>
                            <a:off x="0" y="0"/>
                            <a:ext cx="768985" cy="956310"/>
                          </a:xfrm>
                          <a:prstGeom prst="rect">
                            <a:avLst/>
                          </a:prstGeom>
                          <a:noFill/>
                          <a:ln>
                            <a:noFill/>
                          </a:ln>
                        </pic:spPr>
                      </pic:pic>
                    </a:graphicData>
                  </a:graphic>
                </wp:anchor>
              </w:drawing>
            </w:r>
          </w:p>
        </w:tc>
      </w:tr>
      <w:tr w14:paraId="5EB9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14:paraId="3067FDE6">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4</w:t>
            </w:r>
          </w:p>
        </w:tc>
        <w:tc>
          <w:tcPr>
            <w:tcW w:w="971" w:type="dxa"/>
            <w:tcBorders>
              <w:top w:val="single" w:color="auto" w:sz="4" w:space="0"/>
              <w:left w:val="single" w:color="auto" w:sz="4" w:space="0"/>
              <w:bottom w:val="single" w:color="auto" w:sz="4" w:space="0"/>
              <w:right w:val="single" w:color="auto" w:sz="4" w:space="0"/>
            </w:tcBorders>
            <w:vAlign w:val="center"/>
          </w:tcPr>
          <w:p w14:paraId="489ABEC6">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办公桌</w:t>
            </w:r>
          </w:p>
        </w:tc>
        <w:tc>
          <w:tcPr>
            <w:tcW w:w="4875" w:type="dxa"/>
            <w:tcBorders>
              <w:bottom w:val="single" w:color="auto" w:sz="4" w:space="0"/>
            </w:tcBorders>
            <w:vAlign w:val="center"/>
          </w:tcPr>
          <w:p w14:paraId="66FA7F49">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1、基材：成都“加莱宝”牌或同等价位品牌E1级MFC防火板台面，表面三聚氢胺浸渍处理，具有抗划伤、耐高温、耐磨损、耐冲击度等特点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2、封边：成都“硕泰”牌或同等价位品牌2MM厚PVC全自动机械热压封边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3、五金：广东东泰或同等价位品牌五金配件，美观经久耐用。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4、加厚钢制桌架。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5、配活动柜、主机架、键盘架。</w:t>
            </w:r>
          </w:p>
        </w:tc>
        <w:tc>
          <w:tcPr>
            <w:tcW w:w="1010" w:type="dxa"/>
            <w:tcBorders>
              <w:bottom w:val="single" w:color="auto" w:sz="4" w:space="0"/>
            </w:tcBorders>
            <w:vAlign w:val="center"/>
          </w:tcPr>
          <w:p w14:paraId="70BE852A">
            <w:pPr>
              <w:keepNext w:val="0"/>
              <w:keepLines w:val="0"/>
              <w:widowControl/>
              <w:suppressLineNumbers w:val="0"/>
              <w:jc w:val="center"/>
              <w:textAlignment w:val="center"/>
              <w:rPr>
                <w:rFonts w:hint="default"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1400*600*750mm</w:t>
            </w:r>
          </w:p>
        </w:tc>
        <w:tc>
          <w:tcPr>
            <w:tcW w:w="479" w:type="dxa"/>
            <w:gridSpan w:val="2"/>
            <w:tcBorders>
              <w:bottom w:val="single" w:color="auto" w:sz="4" w:space="0"/>
            </w:tcBorders>
            <w:vAlign w:val="center"/>
          </w:tcPr>
          <w:p w14:paraId="29ADFB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36张</w:t>
            </w:r>
          </w:p>
        </w:tc>
        <w:tc>
          <w:tcPr>
            <w:tcW w:w="980" w:type="dxa"/>
            <w:tcBorders>
              <w:bottom w:val="single" w:color="auto" w:sz="4" w:space="0"/>
            </w:tcBorders>
            <w:vAlign w:val="center"/>
          </w:tcPr>
          <w:p w14:paraId="3455EAF0">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680</w:t>
            </w:r>
          </w:p>
        </w:tc>
        <w:tc>
          <w:tcPr>
            <w:tcW w:w="1612" w:type="dxa"/>
            <w:vAlign w:val="center"/>
          </w:tcPr>
          <w:p w14:paraId="6BD34332">
            <w:pPr>
              <w:keepNext w:val="0"/>
              <w:keepLines w:val="0"/>
              <w:widowControl/>
              <w:suppressLineNumbers w:val="0"/>
              <w:jc w:val="center"/>
              <w:textAlignment w:val="center"/>
              <w:rPr>
                <w:rFonts w:hint="eastAsia"/>
                <w:sz w:val="32"/>
                <w:szCs w:val="32"/>
              </w:rPr>
            </w:pPr>
            <w:r>
              <w:rPr>
                <w:rFonts w:hint="eastAsia" w:ascii="宋体" w:hAnsi="宋体" w:eastAsia="宋体" w:cs="宋体"/>
                <w:b/>
                <w:bCs/>
                <w:i w:val="0"/>
                <w:iCs w:val="0"/>
                <w:color w:val="000000"/>
                <w:kern w:val="0"/>
                <w:sz w:val="24"/>
                <w:szCs w:val="24"/>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7620</wp:posOffset>
                  </wp:positionH>
                  <wp:positionV relativeFrom="paragraph">
                    <wp:posOffset>151130</wp:posOffset>
                  </wp:positionV>
                  <wp:extent cx="900430" cy="1002665"/>
                  <wp:effectExtent l="0" t="0" r="13970" b="6985"/>
                  <wp:wrapNone/>
                  <wp:docPr id="11" name="图片_4"/>
                  <wp:cNvGraphicFramePr/>
                  <a:graphic xmlns:a="http://schemas.openxmlformats.org/drawingml/2006/main">
                    <a:graphicData uri="http://schemas.openxmlformats.org/drawingml/2006/picture">
                      <pic:pic xmlns:pic="http://schemas.openxmlformats.org/drawingml/2006/picture">
                        <pic:nvPicPr>
                          <pic:cNvPr id="11" name="图片_4"/>
                          <pic:cNvPicPr/>
                        </pic:nvPicPr>
                        <pic:blipFill>
                          <a:blip r:embed="rId7"/>
                          <a:stretch>
                            <a:fillRect/>
                          </a:stretch>
                        </pic:blipFill>
                        <pic:spPr>
                          <a:xfrm>
                            <a:off x="0" y="0"/>
                            <a:ext cx="900430" cy="1002665"/>
                          </a:xfrm>
                          <a:prstGeom prst="rect">
                            <a:avLst/>
                          </a:prstGeom>
                          <a:noFill/>
                          <a:ln>
                            <a:noFill/>
                          </a:ln>
                        </pic:spPr>
                      </pic:pic>
                    </a:graphicData>
                  </a:graphic>
                </wp:anchor>
              </w:drawing>
            </w:r>
          </w:p>
        </w:tc>
      </w:tr>
      <w:tr w14:paraId="4D97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14:paraId="03F91214">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5</w:t>
            </w:r>
          </w:p>
        </w:tc>
        <w:tc>
          <w:tcPr>
            <w:tcW w:w="971" w:type="dxa"/>
            <w:tcBorders>
              <w:top w:val="single" w:color="auto" w:sz="4" w:space="0"/>
              <w:left w:val="single" w:color="auto" w:sz="4" w:space="0"/>
              <w:bottom w:val="single" w:color="auto" w:sz="4" w:space="0"/>
              <w:right w:val="single" w:color="auto" w:sz="4" w:space="0"/>
            </w:tcBorders>
            <w:vAlign w:val="center"/>
          </w:tcPr>
          <w:p w14:paraId="5E00E614">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演讲台</w:t>
            </w:r>
          </w:p>
        </w:tc>
        <w:tc>
          <w:tcPr>
            <w:tcW w:w="4875" w:type="dxa"/>
            <w:tcBorders>
              <w:top w:val="single" w:color="auto" w:sz="4" w:space="0"/>
              <w:bottom w:val="single" w:color="auto" w:sz="4" w:space="0"/>
              <w:right w:val="single" w:color="auto" w:sz="4" w:space="0"/>
            </w:tcBorders>
            <w:vAlign w:val="center"/>
          </w:tcPr>
          <w:p w14:paraId="26AABDE1">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1.基材:采用E1级环保中密度纤维板，密度达700KG/M3以上,经过防虫、防腐等化学处理，持久不变形;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2.油漆:采用环保面漆，经五底四面油漆工艺处理，符合GB 18581-2020 木器涂料中有害物质限量，GB/T 23997-2009 室内装饰装修用溶剂型聚氨酯木器涂料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3.木工要求，漆膜外观要求，甲醛释放量小于1.5mg/L。</w:t>
            </w:r>
          </w:p>
        </w:tc>
        <w:tc>
          <w:tcPr>
            <w:tcW w:w="1010" w:type="dxa"/>
            <w:tcBorders>
              <w:top w:val="single" w:color="auto" w:sz="4" w:space="0"/>
              <w:left w:val="single" w:color="auto" w:sz="4" w:space="0"/>
              <w:bottom w:val="single" w:color="auto" w:sz="4" w:space="0"/>
              <w:right w:val="single" w:color="auto" w:sz="4" w:space="0"/>
            </w:tcBorders>
            <w:vAlign w:val="center"/>
          </w:tcPr>
          <w:p w14:paraId="5362D7D6">
            <w:pPr>
              <w:keepNext w:val="0"/>
              <w:keepLines w:val="0"/>
              <w:widowControl/>
              <w:suppressLineNumbers w:val="0"/>
              <w:jc w:val="center"/>
              <w:textAlignment w:val="center"/>
              <w:rPr>
                <w:rFonts w:hint="default"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700*570*1150mm</w:t>
            </w:r>
          </w:p>
        </w:tc>
        <w:tc>
          <w:tcPr>
            <w:tcW w:w="5" w:type="dxa"/>
            <w:tcBorders>
              <w:top w:val="single" w:color="auto" w:sz="4" w:space="0"/>
              <w:left w:val="single" w:color="auto" w:sz="4" w:space="0"/>
              <w:bottom w:val="single" w:color="auto" w:sz="4" w:space="0"/>
              <w:right w:val="single" w:color="auto" w:sz="4" w:space="0"/>
            </w:tcBorders>
            <w:vAlign w:val="center"/>
          </w:tcPr>
          <w:p w14:paraId="40197956">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700*570*1150mm</w:t>
            </w:r>
          </w:p>
        </w:tc>
        <w:tc>
          <w:tcPr>
            <w:tcW w:w="474" w:type="dxa"/>
            <w:tcBorders>
              <w:top w:val="single" w:color="auto" w:sz="4" w:space="0"/>
              <w:left w:val="single" w:color="auto" w:sz="4" w:space="0"/>
              <w:bottom w:val="single" w:color="auto" w:sz="4" w:space="0"/>
              <w:right w:val="single" w:color="auto" w:sz="4" w:space="0"/>
            </w:tcBorders>
            <w:vAlign w:val="center"/>
          </w:tcPr>
          <w:p w14:paraId="5858A8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1个</w:t>
            </w:r>
          </w:p>
        </w:tc>
        <w:tc>
          <w:tcPr>
            <w:tcW w:w="980" w:type="dxa"/>
            <w:tcBorders>
              <w:top w:val="single" w:color="auto" w:sz="4" w:space="0"/>
              <w:left w:val="single" w:color="auto" w:sz="4" w:space="0"/>
              <w:bottom w:val="single" w:color="auto" w:sz="4" w:space="0"/>
            </w:tcBorders>
            <w:vAlign w:val="center"/>
          </w:tcPr>
          <w:p w14:paraId="5CAF853B">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1150</w:t>
            </w:r>
          </w:p>
        </w:tc>
        <w:tc>
          <w:tcPr>
            <w:tcW w:w="1612" w:type="dxa"/>
            <w:vAlign w:val="center"/>
          </w:tcPr>
          <w:p w14:paraId="6BD58E9D">
            <w:pPr>
              <w:keepNext w:val="0"/>
              <w:keepLines w:val="0"/>
              <w:widowControl/>
              <w:suppressLineNumbers w:val="0"/>
              <w:jc w:val="center"/>
              <w:textAlignment w:val="center"/>
              <w:rPr>
                <w:rFonts w:hint="eastAsia"/>
                <w:sz w:val="32"/>
                <w:szCs w:val="32"/>
              </w:rPr>
            </w:pPr>
            <w:r>
              <w:rPr>
                <w:rFonts w:hint="eastAsia" w:ascii="宋体" w:hAnsi="宋体" w:eastAsia="宋体" w:cs="宋体"/>
                <w:b/>
                <w:bCs/>
                <w:i w:val="0"/>
                <w:iCs w:val="0"/>
                <w:color w:val="000000"/>
                <w:kern w:val="0"/>
                <w:sz w:val="24"/>
                <w:szCs w:val="24"/>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-1270</wp:posOffset>
                  </wp:positionH>
                  <wp:positionV relativeFrom="paragraph">
                    <wp:posOffset>112395</wp:posOffset>
                  </wp:positionV>
                  <wp:extent cx="859790" cy="1128395"/>
                  <wp:effectExtent l="0" t="0" r="16510" b="14605"/>
                  <wp:wrapNone/>
                  <wp:docPr id="12" name="图片_1_SpCnt_2"/>
                  <wp:cNvGraphicFramePr/>
                  <a:graphic xmlns:a="http://schemas.openxmlformats.org/drawingml/2006/main">
                    <a:graphicData uri="http://schemas.openxmlformats.org/drawingml/2006/picture">
                      <pic:pic xmlns:pic="http://schemas.openxmlformats.org/drawingml/2006/picture">
                        <pic:nvPicPr>
                          <pic:cNvPr id="12" name="图片_1_SpCnt_2"/>
                          <pic:cNvPicPr/>
                        </pic:nvPicPr>
                        <pic:blipFill>
                          <a:blip r:embed="rId8"/>
                          <a:stretch>
                            <a:fillRect/>
                          </a:stretch>
                        </pic:blipFill>
                        <pic:spPr>
                          <a:xfrm>
                            <a:off x="0" y="0"/>
                            <a:ext cx="859790" cy="1128395"/>
                          </a:xfrm>
                          <a:prstGeom prst="rect">
                            <a:avLst/>
                          </a:prstGeom>
                          <a:noFill/>
                          <a:ln>
                            <a:noFill/>
                          </a:ln>
                        </pic:spPr>
                      </pic:pic>
                    </a:graphicData>
                  </a:graphic>
                </wp:anchor>
              </w:drawing>
            </w:r>
          </w:p>
        </w:tc>
      </w:tr>
      <w:tr w14:paraId="1E4F4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8"/>
            <w:tcBorders>
              <w:top w:val="single" w:color="auto" w:sz="4" w:space="0"/>
              <w:left w:val="single" w:color="auto" w:sz="4" w:space="0"/>
              <w:bottom w:val="single" w:color="auto" w:sz="4" w:space="0"/>
            </w:tcBorders>
            <w:vAlign w:val="center"/>
          </w:tcPr>
          <w:p w14:paraId="07481286">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（二）商务要求：（须完全响应）</w:t>
            </w:r>
          </w:p>
          <w:p w14:paraId="08CFEDC3">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1.最高限价</w:t>
            </w:r>
          </w:p>
          <w:p w14:paraId="1926B0B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最高限价47350元。报价要求：本次报价为人民币包干价，包含：货款、运输装卸、安装维护费（原厂配件费）、资料装订及邮寄费、税费、保险费、验收检测费等完成本项目所需的一切费用。因成交供应商自身原因造成漏报、少报皆由其自行承担责任，采购人不再补偿。服务期间发生的安全责任事故由供应商自行承担。</w:t>
            </w:r>
          </w:p>
          <w:p w14:paraId="5527C4A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2.、</w:t>
            </w:r>
            <w:r>
              <w:rPr>
                <w:rFonts w:hint="eastAsia" w:ascii="方正仿宋_GBK" w:hAnsi="方正仿宋_GBK" w:eastAsia="方正仿宋_GBK" w:cs="方正仿宋_GBK"/>
                <w:b/>
                <w:bCs/>
                <w:color w:val="auto"/>
                <w:sz w:val="32"/>
                <w:szCs w:val="32"/>
              </w:rPr>
              <w:t>服务期</w:t>
            </w:r>
          </w:p>
          <w:p w14:paraId="0E42D98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自合同签订之日起</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2</w:t>
            </w:r>
            <w:r>
              <w:rPr>
                <w:rFonts w:hint="eastAsia" w:ascii="方正仿宋_GBK" w:hAnsi="方正仿宋_GBK" w:eastAsia="方正仿宋_GBK" w:cs="方正仿宋_GBK"/>
                <w:color w:val="auto"/>
                <w:sz w:val="32"/>
                <w:szCs w:val="32"/>
                <w:u w:val="single"/>
              </w:rPr>
              <w:t xml:space="preserve">0 </w:t>
            </w:r>
            <w:r>
              <w:rPr>
                <w:rFonts w:hint="eastAsia" w:ascii="方正仿宋_GBK" w:hAnsi="方正仿宋_GBK" w:eastAsia="方正仿宋_GBK" w:cs="方正仿宋_GBK"/>
                <w:color w:val="auto"/>
                <w:sz w:val="32"/>
                <w:szCs w:val="32"/>
              </w:rPr>
              <w:t>天。</w:t>
            </w:r>
          </w:p>
          <w:p w14:paraId="23EC574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kern w:val="0"/>
                <w:sz w:val="32"/>
                <w:szCs w:val="32"/>
                <w:lang w:val="en-US" w:eastAsia="zh-CN"/>
              </w:rPr>
              <w:t>合同签订</w:t>
            </w:r>
          </w:p>
          <w:p w14:paraId="3DF5F14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成交供应商在接到成交通知后10日内与采购人签订采购合同和廉政购销协议。</w:t>
            </w:r>
          </w:p>
          <w:p w14:paraId="243AFB79">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7FCFA86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验收合格后一次性支付95%</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供应商承诺的质保期届满且维护的产品正常使用的支付剩余5%。付款时供应商须提交全额发票。</w:t>
            </w:r>
          </w:p>
          <w:p w14:paraId="460F1A2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w:t>
            </w:r>
          </w:p>
          <w:p w14:paraId="700AC95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（1）在规定时间内完成交付，按照招投标文件要求进行验收。</w:t>
            </w:r>
          </w:p>
          <w:p w14:paraId="70B9A28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（2）验收产生争议时由采购人择优选择第三方有资质的机构进行检测，验收费用由供应商承担。</w:t>
            </w:r>
          </w:p>
          <w:p w14:paraId="2321B62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6125830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（1）质保期不低于5年，产品有任何质量问题，供应商应30分钟提供电话响应，6小时内来院进行维护修理，未及时响应将承担违约责任。</w:t>
            </w:r>
          </w:p>
          <w:p w14:paraId="7ADACFE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（2）质保期届满后，供应商应免费提供电话咨询等服务，协助采购人处理故障。</w:t>
            </w:r>
          </w:p>
          <w:p w14:paraId="009865F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53E3D66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4D5B8EA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8.违约责任</w:t>
            </w:r>
          </w:p>
          <w:p w14:paraId="5A4BF1D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中标供应商未在约定期限交付产品，延迟每日支付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质保期未按售后要求提供维保服务，供应商将承担200元/次的违约金；因不能按期交付，整改期限届满以及其他原因导致采购人解除合同，以及供应商明确表示终止合同，供应商需承担合同总金额30%的违约金，并承担对采购人造成的损失。</w:t>
            </w:r>
          </w:p>
          <w:p w14:paraId="7A796E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9.中选标准</w:t>
            </w:r>
          </w:p>
          <w:p w14:paraId="141AC5B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322A009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10.其他要求</w:t>
            </w:r>
          </w:p>
          <w:p w14:paraId="61D1A19C">
            <w:pPr>
              <w:numPr>
                <w:ilvl w:val="0"/>
                <w:numId w:val="0"/>
              </w:numPr>
              <w:spacing w:line="500" w:lineRule="exact"/>
              <w:ind w:firstLine="64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条件：供应商未按照采购要求逐项提交佐证材料；供应商不能在规定时限内对响应材料进行说明或补充提交；供应商存在围标、串标等违法行为。</w:t>
            </w:r>
          </w:p>
        </w:tc>
      </w:tr>
      <w:tr w14:paraId="750E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8"/>
            <w:tcBorders>
              <w:top w:val="single" w:color="000000" w:sz="6" w:space="0"/>
              <w:left w:val="single" w:color="000000" w:sz="6" w:space="0"/>
              <w:bottom w:val="single" w:color="000000" w:sz="6" w:space="0"/>
            </w:tcBorders>
            <w:tcMar>
              <w:top w:w="30" w:type="dxa"/>
              <w:left w:w="45" w:type="dxa"/>
              <w:bottom w:w="30" w:type="dxa"/>
              <w:right w:w="45" w:type="dxa"/>
            </w:tcMar>
            <w:vAlign w:val="center"/>
          </w:tcPr>
          <w:p w14:paraId="2D92DD69">
            <w:pPr>
              <w:widowControl/>
              <w:spacing w:line="360" w:lineRule="auto"/>
              <w:jc w:val="center"/>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供应商承诺</w:t>
            </w:r>
          </w:p>
        </w:tc>
      </w:tr>
      <w:tr w14:paraId="1870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0488" w:type="dxa"/>
            <w:gridSpan w:val="8"/>
            <w:tcBorders>
              <w:top w:val="single" w:color="000000" w:sz="6" w:space="0"/>
              <w:left w:val="single" w:color="000000" w:sz="6" w:space="0"/>
              <w:bottom w:val="single" w:color="000000" w:sz="6" w:space="0"/>
            </w:tcBorders>
            <w:tcMar>
              <w:top w:w="30" w:type="dxa"/>
              <w:left w:w="45" w:type="dxa"/>
              <w:bottom w:w="30" w:type="dxa"/>
              <w:right w:w="45" w:type="dxa"/>
            </w:tcMar>
            <w:vAlign w:val="center"/>
          </w:tcPr>
          <w:p w14:paraId="00931A46">
            <w:pPr>
              <w:widowControl/>
              <w:spacing w:line="360" w:lineRule="auto"/>
              <w:ind w:firstLine="643" w:firstLineChars="200"/>
              <w:jc w:val="left"/>
              <w:rPr>
                <w:rFonts w:hint="eastAsia" w:ascii="仿宋" w:hAnsi="仿宋" w:eastAsia="仿宋" w:cs="仿宋"/>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是否</w:t>
            </w:r>
            <w:r>
              <w:rPr>
                <w:rFonts w:hint="eastAsia" w:ascii="仿宋" w:hAnsi="仿宋" w:eastAsia="仿宋" w:cs="仿宋"/>
                <w:b/>
                <w:bCs/>
                <w:i w:val="0"/>
                <w:caps w:val="0"/>
                <w:color w:val="555555"/>
                <w:spacing w:val="0"/>
                <w:kern w:val="0"/>
                <w:sz w:val="32"/>
                <w:szCs w:val="32"/>
                <w:lang w:val="en-US" w:eastAsia="zh-CN" w:bidi="ar"/>
              </w:rPr>
              <w:t>完全响应采购人技术参数和商务要求？</w:t>
            </w:r>
          </w:p>
          <w:p w14:paraId="3E49010D">
            <w:pPr>
              <w:pStyle w:val="2"/>
              <w:numPr>
                <w:numId w:val="0"/>
              </w:numPr>
              <w:tabs>
                <w:tab w:val="clear" w:pos="3600"/>
              </w:tabs>
              <w:ind w:left="2880" w:leftChars="0"/>
              <w:jc w:val="right"/>
              <w:rPr>
                <w:rFonts w:hint="default"/>
                <w:lang w:val="en-US" w:eastAsia="zh-CN"/>
              </w:rPr>
            </w:pPr>
            <w:r>
              <w:rPr>
                <w:rFonts w:hint="eastAsia" w:ascii="仿宋" w:hAnsi="仿宋" w:eastAsia="仿宋" w:cs="仿宋"/>
                <w:b/>
                <w:bCs/>
                <w:i w:val="0"/>
                <w:caps w:val="0"/>
                <w:color w:val="555555"/>
                <w:spacing w:val="0"/>
                <w:kern w:val="0"/>
                <w:sz w:val="32"/>
                <w:szCs w:val="32"/>
                <w:lang w:val="en-US" w:eastAsia="zh-CN" w:bidi="ar"/>
              </w:rPr>
              <w:t>供应商名称（盖章）</w:t>
            </w:r>
          </w:p>
          <w:p w14:paraId="59374F23">
            <w:pPr>
              <w:jc w:val="right"/>
              <w:rPr>
                <w:rFonts w:hint="default"/>
                <w:lang w:val="en-US" w:eastAsia="zh-CN"/>
              </w:rPr>
            </w:pPr>
            <w:r>
              <w:rPr>
                <w:rFonts w:hint="eastAsia" w:ascii="仿宋" w:hAnsi="仿宋" w:eastAsia="仿宋" w:cs="仿宋"/>
                <w:b/>
                <w:bCs/>
                <w:i w:val="0"/>
                <w:caps w:val="0"/>
                <w:color w:val="555555"/>
                <w:spacing w:val="0"/>
                <w:kern w:val="0"/>
                <w:sz w:val="32"/>
                <w:szCs w:val="32"/>
                <w:lang w:val="en-US" w:eastAsia="zh-CN" w:bidi="ar"/>
              </w:rPr>
              <w:t>日期</w:t>
            </w:r>
          </w:p>
        </w:tc>
      </w:tr>
    </w:tbl>
    <w:p w14:paraId="20107AC4">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14:paraId="4F53372E">
      <w:pPr>
        <w:numPr>
          <w:numId w:val="0"/>
        </w:num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三、报价表</w:t>
      </w:r>
    </w:p>
    <w:p w14:paraId="191ED7A7">
      <w:pPr>
        <w:pStyle w:val="8"/>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8"/>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8"/>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8"/>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r>
        <w:rPr>
          <w:rFonts w:hint="eastAsia" w:ascii="方正仿宋_GBK" w:hAnsi="方正仿宋_GBK" w:eastAsia="方正仿宋_GBK" w:cs="方正仿宋_GBK"/>
          <w:sz w:val="32"/>
          <w:szCs w:val="32"/>
          <w:u w:val="single"/>
          <w:lang w:val="en-US" w:eastAsia="zh-CN"/>
        </w:rPr>
        <w:t>（请对每个产品单独报价，附分项报价清单）</w:t>
      </w:r>
      <w:bookmarkStart w:id="29" w:name="_GoBack"/>
      <w:bookmarkEnd w:id="29"/>
    </w:p>
    <w:p w14:paraId="3785074E">
      <w:pPr>
        <w:pStyle w:val="8"/>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8"/>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8"/>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8"/>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8"/>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8"/>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13266A40">
      <w:pPr>
        <w:pStyle w:val="8"/>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43E9CB50">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3D25DBB5">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四、法定代表人身份证明书</w:t>
      </w:r>
    </w:p>
    <w:p w14:paraId="7C7C6605">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2B5B2F6E">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F4D0EF">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14:paraId="4CB54495">
      <w:pPr>
        <w:adjustRightInd w:val="0"/>
        <w:snapToGrid w:val="0"/>
        <w:spacing w:line="360" w:lineRule="auto"/>
        <w:ind w:firstLine="700" w:firstLineChars="250"/>
        <w:rPr>
          <w:rFonts w:ascii="仿宋_GB2312" w:eastAsia="仿宋_GB2312"/>
          <w:color w:val="auto"/>
          <w:sz w:val="28"/>
          <w:szCs w:val="28"/>
        </w:rPr>
      </w:pPr>
      <w:bookmarkStart w:id="0" w:name="_Toc166549448"/>
      <w:bookmarkStart w:id="1" w:name="_Toc156730450"/>
      <w:bookmarkStart w:id="2" w:name="_Toc128229745"/>
      <w:bookmarkStart w:id="3" w:name="_Toc128229916"/>
      <w:bookmarkStart w:id="4" w:name="_Toc156815770"/>
      <w:bookmarkStart w:id="5" w:name="_Toc156196470"/>
      <w:bookmarkStart w:id="6" w:name="_Toc173677397"/>
      <w:bookmarkStart w:id="7" w:name="_Toc128229302"/>
      <w:bookmarkStart w:id="8" w:name="_Toc175017342"/>
      <w:bookmarkStart w:id="9" w:name="_Toc166139912"/>
      <w:bookmarkStart w:id="10" w:name="_Toc156196559"/>
      <w:r>
        <w:rPr>
          <w:rFonts w:hint="eastAsia" w:ascii="仿宋_GB2312" w:eastAsia="仿宋_GB2312"/>
          <w:color w:val="auto"/>
          <w:sz w:val="28"/>
          <w:szCs w:val="28"/>
        </w:rPr>
        <w:t>特此证明。</w:t>
      </w:r>
      <w:bookmarkEnd w:id="0"/>
      <w:bookmarkEnd w:id="1"/>
      <w:bookmarkEnd w:id="2"/>
      <w:bookmarkEnd w:id="3"/>
      <w:bookmarkEnd w:id="4"/>
      <w:bookmarkEnd w:id="5"/>
      <w:bookmarkEnd w:id="6"/>
      <w:bookmarkEnd w:id="7"/>
      <w:bookmarkEnd w:id="8"/>
      <w:bookmarkEnd w:id="9"/>
      <w:bookmarkEnd w:id="10"/>
    </w:p>
    <w:p w14:paraId="4DABED30">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1" w:name="_Toc166139913"/>
      <w:bookmarkStart w:id="12" w:name="_Toc173677398"/>
      <w:bookmarkStart w:id="13" w:name="_Toc156196471"/>
      <w:bookmarkStart w:id="14" w:name="_Toc156730451"/>
      <w:bookmarkStart w:id="15" w:name="_Toc175017343"/>
      <w:bookmarkStart w:id="16" w:name="_Toc128229303"/>
      <w:bookmarkStart w:id="17" w:name="_Toc128229917"/>
      <w:bookmarkStart w:id="18" w:name="_Toc156815771"/>
      <w:bookmarkStart w:id="19" w:name="_Toc166549449"/>
      <w:bookmarkStart w:id="20" w:name="_Toc156196560"/>
      <w:bookmarkStart w:id="21" w:name="_Toc128229746"/>
      <w:r>
        <w:rPr>
          <w:rFonts w:hint="eastAsia" w:ascii="仿宋_GB2312" w:eastAsia="仿宋_GB2312"/>
          <w:color w:val="auto"/>
          <w:sz w:val="28"/>
          <w:szCs w:val="28"/>
        </w:rPr>
        <w:t xml:space="preserve">  投标人全称</w:t>
      </w:r>
      <w:bookmarkEnd w:id="11"/>
      <w:bookmarkEnd w:id="12"/>
      <w:bookmarkEnd w:id="13"/>
      <w:bookmarkEnd w:id="14"/>
      <w:bookmarkEnd w:id="15"/>
      <w:bookmarkEnd w:id="16"/>
      <w:bookmarkEnd w:id="17"/>
      <w:bookmarkEnd w:id="18"/>
      <w:bookmarkEnd w:id="19"/>
      <w:bookmarkEnd w:id="20"/>
      <w:bookmarkEnd w:id="21"/>
      <w:r>
        <w:rPr>
          <w:rFonts w:hint="eastAsia" w:ascii="仿宋_GB2312" w:eastAsia="仿宋_GB2312"/>
          <w:color w:val="auto"/>
          <w:sz w:val="28"/>
          <w:szCs w:val="28"/>
        </w:rPr>
        <w:t>：</w:t>
      </w:r>
      <w:r>
        <w:rPr>
          <w:rFonts w:hint="eastAsia" w:ascii="仿宋_GB2312" w:hAnsi="宋体" w:eastAsia="仿宋_GB2312"/>
          <w:color w:val="auto"/>
          <w:sz w:val="28"/>
          <w:szCs w:val="28"/>
        </w:rPr>
        <w:t>（公章）</w:t>
      </w:r>
    </w:p>
    <w:p w14:paraId="1EC375B7">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14:paraId="278531EA">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2" w:name="_Toc175017344"/>
      <w:bookmarkStart w:id="23" w:name="_Toc237057793"/>
      <w:bookmarkStart w:id="24" w:name="_Toc128229747"/>
      <w:bookmarkStart w:id="25" w:name="_Toc173677399"/>
      <w:bookmarkStart w:id="26" w:name="_Toc156196472"/>
      <w:bookmarkStart w:id="27" w:name="_Toc128229304"/>
      <w:bookmarkStart w:id="28" w:name="_Toc128014297"/>
    </w:p>
    <w:p w14:paraId="176EE9C2">
      <w:pPr>
        <w:pStyle w:val="3"/>
        <w:numPr>
          <w:numId w:val="0"/>
        </w:numPr>
        <w:adjustRightInd w:val="0"/>
        <w:snapToGrid w:val="0"/>
        <w:spacing w:line="360" w:lineRule="auto"/>
        <w:jc w:val="both"/>
        <w:rPr>
          <w:rFonts w:hint="eastAsia"/>
          <w:color w:val="auto"/>
          <w:sz w:val="28"/>
          <w:szCs w:val="28"/>
        </w:rPr>
      </w:pPr>
      <w:r>
        <w:rPr>
          <w:rFonts w:hint="eastAsia"/>
          <w:color w:val="auto"/>
          <w:sz w:val="28"/>
          <w:szCs w:val="28"/>
          <w:lang w:val="en-US" w:eastAsia="zh-CN"/>
        </w:rPr>
        <w:t>五、</w:t>
      </w:r>
      <w:r>
        <w:rPr>
          <w:rFonts w:hint="eastAsia"/>
          <w:color w:val="auto"/>
          <w:sz w:val="28"/>
          <w:szCs w:val="28"/>
        </w:rPr>
        <w:t>投标人法定代表人授权委托书（格式）</w:t>
      </w:r>
      <w:bookmarkEnd w:id="22"/>
      <w:bookmarkEnd w:id="23"/>
      <w:bookmarkEnd w:id="24"/>
      <w:bookmarkEnd w:id="25"/>
      <w:bookmarkEnd w:id="26"/>
      <w:bookmarkEnd w:id="27"/>
      <w:bookmarkEnd w:id="28"/>
    </w:p>
    <w:p w14:paraId="67FE7FFB">
      <w:pPr>
        <w:numPr>
          <w:ilvl w:val="0"/>
          <w:numId w:val="0"/>
        </w:numPr>
        <w:jc w:val="center"/>
        <w:rPr>
          <w:b/>
          <w:bCs/>
          <w:sz w:val="32"/>
          <w:szCs w:val="32"/>
        </w:rPr>
      </w:pPr>
      <w:r>
        <w:rPr>
          <w:rFonts w:hint="eastAsia"/>
          <w:b/>
          <w:bCs/>
          <w:color w:val="auto"/>
          <w:sz w:val="32"/>
          <w:szCs w:val="32"/>
        </w:rPr>
        <w:t>投标人法定代表人授权委托书（格式）</w:t>
      </w:r>
    </w:p>
    <w:p w14:paraId="3E9CC435">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4AC637BC">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58951278">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4AF7F884">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368D8E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0D91029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14:paraId="2B3A7075">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396789E2">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6876635C">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549499E4">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13D58CE9">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4D885486">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4CCFF912">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45DAB751">
      <w:pPr>
        <w:tabs>
          <w:tab w:val="left" w:pos="6300"/>
        </w:tabs>
        <w:adjustRightInd w:val="0"/>
        <w:snapToGrid w:val="0"/>
        <w:spacing w:line="360" w:lineRule="auto"/>
        <w:rPr>
          <w:rFonts w:ascii="仿宋" w:hAnsi="仿宋" w:eastAsia="仿宋"/>
          <w:b/>
          <w:snapToGrid w:val="0"/>
          <w:color w:val="auto"/>
          <w:kern w:val="0"/>
          <w:sz w:val="28"/>
          <w:szCs w:val="28"/>
        </w:rPr>
      </w:pPr>
    </w:p>
    <w:p w14:paraId="6587EDC3">
      <w:pPr>
        <w:tabs>
          <w:tab w:val="left" w:pos="6300"/>
        </w:tabs>
        <w:adjustRightInd w:val="0"/>
        <w:snapToGrid w:val="0"/>
        <w:spacing w:line="360" w:lineRule="auto"/>
        <w:rPr>
          <w:rFonts w:ascii="仿宋" w:hAnsi="仿宋" w:eastAsia="仿宋"/>
          <w:b/>
          <w:snapToGrid w:val="0"/>
          <w:color w:val="auto"/>
          <w:kern w:val="0"/>
          <w:sz w:val="28"/>
          <w:szCs w:val="28"/>
        </w:rPr>
      </w:pPr>
    </w:p>
    <w:p w14:paraId="5F52CF5E">
      <w:pPr>
        <w:tabs>
          <w:tab w:val="left" w:pos="6300"/>
        </w:tabs>
        <w:adjustRightInd w:val="0"/>
        <w:snapToGrid w:val="0"/>
        <w:spacing w:line="360" w:lineRule="auto"/>
        <w:rPr>
          <w:rFonts w:ascii="仿宋" w:hAnsi="仿宋" w:eastAsia="仿宋"/>
          <w:b/>
          <w:snapToGrid w:val="0"/>
          <w:color w:val="auto"/>
          <w:kern w:val="0"/>
          <w:sz w:val="28"/>
          <w:szCs w:val="28"/>
        </w:rPr>
      </w:pPr>
    </w:p>
    <w:p w14:paraId="5CCAA65F">
      <w:pPr>
        <w:tabs>
          <w:tab w:val="left" w:pos="6300"/>
        </w:tabs>
        <w:adjustRightInd w:val="0"/>
        <w:snapToGrid w:val="0"/>
        <w:spacing w:line="360" w:lineRule="auto"/>
        <w:rPr>
          <w:rFonts w:ascii="仿宋" w:hAnsi="仿宋" w:eastAsia="仿宋"/>
          <w:b/>
          <w:snapToGrid w:val="0"/>
          <w:color w:val="auto"/>
          <w:kern w:val="0"/>
          <w:sz w:val="24"/>
        </w:rPr>
      </w:pPr>
    </w:p>
    <w:p w14:paraId="3D4E9C6C">
      <w:pPr>
        <w:pStyle w:val="4"/>
        <w:rPr>
          <w:color w:val="auto"/>
        </w:rPr>
      </w:pPr>
    </w:p>
    <w:p w14:paraId="3341EA35">
      <w:pPr>
        <w:tabs>
          <w:tab w:val="left" w:pos="6300"/>
        </w:tabs>
        <w:adjustRightInd w:val="0"/>
        <w:snapToGrid w:val="0"/>
        <w:spacing w:line="360" w:lineRule="auto"/>
        <w:rPr>
          <w:rFonts w:ascii="仿宋" w:hAnsi="仿宋" w:eastAsia="仿宋"/>
          <w:b/>
          <w:snapToGrid w:val="0"/>
          <w:color w:val="auto"/>
          <w:kern w:val="0"/>
          <w:sz w:val="24"/>
        </w:rPr>
      </w:pPr>
    </w:p>
    <w:p w14:paraId="0A03B2E4">
      <w:pPr>
        <w:tabs>
          <w:tab w:val="left" w:pos="6300"/>
        </w:tabs>
        <w:adjustRightInd w:val="0"/>
        <w:snapToGrid w:val="0"/>
        <w:spacing w:line="360" w:lineRule="auto"/>
        <w:rPr>
          <w:rFonts w:ascii="仿宋" w:hAnsi="仿宋" w:eastAsia="仿宋"/>
          <w:b/>
          <w:snapToGrid w:val="0"/>
          <w:color w:val="auto"/>
          <w:kern w:val="0"/>
          <w:sz w:val="24"/>
        </w:rPr>
      </w:pPr>
    </w:p>
    <w:p w14:paraId="7D4D9BFE">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六、本项目其他采购人的业绩资料（如合同或发票）。</w:t>
      </w:r>
    </w:p>
    <w:p w14:paraId="78D4A926">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6CF4FB0D">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七、其他可以证明投标人有能力完成本项目的佐证材料（如供应商、生产厂家资料等）</w:t>
      </w:r>
    </w:p>
    <w:p w14:paraId="5F9D816F">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八、投标产品相关资料（合格证、产品参数性能彩页、检验检测报告、医疗器械需提供医疗器械注册证或备案证等）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lang w:val="en-US" w:eastAsia="zh-CN"/>
        </w:rPr>
        <w:t>九、</w:t>
      </w:r>
      <w:r>
        <w:rPr>
          <w:rFonts w:hint="eastAsia" w:ascii="方正仿宋_GBK" w:hAnsi="方正仿宋_GBK" w:eastAsia="方正仿宋_GBK" w:cs="方正仿宋_GBK"/>
          <w:b/>
          <w:bCs/>
          <w:sz w:val="32"/>
          <w:szCs w:val="32"/>
        </w:rPr>
        <w:t>质保及售后服务承诺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2"/>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4"/>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十一、投标廉政承诺书</w:t>
      </w:r>
    </w:p>
    <w:p w14:paraId="24D85696">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4"/>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十二、密封档案袋格式要求</w:t>
      </w:r>
    </w:p>
    <w:p w14:paraId="39B09101">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9"/>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10"/>
                    <a:stretch>
                      <a:fillRect/>
                    </a:stretch>
                  </pic:blipFill>
                  <pic:spPr>
                    <a:xfrm>
                      <a:off x="0" y="0"/>
                      <a:ext cx="3068320" cy="3910330"/>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56E5276"/>
    <w:rsid w:val="06FB539B"/>
    <w:rsid w:val="0C872834"/>
    <w:rsid w:val="0CE64C8D"/>
    <w:rsid w:val="0FD01451"/>
    <w:rsid w:val="122D0B62"/>
    <w:rsid w:val="1922346A"/>
    <w:rsid w:val="1AAE2C67"/>
    <w:rsid w:val="1AF86BE0"/>
    <w:rsid w:val="1B3306B6"/>
    <w:rsid w:val="1BDE0896"/>
    <w:rsid w:val="1CF00EFC"/>
    <w:rsid w:val="21426D4A"/>
    <w:rsid w:val="236757CC"/>
    <w:rsid w:val="2C3529EE"/>
    <w:rsid w:val="2FC44243"/>
    <w:rsid w:val="31092EA8"/>
    <w:rsid w:val="33FB61AD"/>
    <w:rsid w:val="342C6BC9"/>
    <w:rsid w:val="376E6279"/>
    <w:rsid w:val="38A14340"/>
    <w:rsid w:val="3D8263F7"/>
    <w:rsid w:val="44C5770F"/>
    <w:rsid w:val="44EF71C4"/>
    <w:rsid w:val="475D7492"/>
    <w:rsid w:val="482D6FF9"/>
    <w:rsid w:val="496140CE"/>
    <w:rsid w:val="4AE139DB"/>
    <w:rsid w:val="4BDB0A24"/>
    <w:rsid w:val="4C31315D"/>
    <w:rsid w:val="4F6D75ED"/>
    <w:rsid w:val="51352B6B"/>
    <w:rsid w:val="53A17F68"/>
    <w:rsid w:val="53DB6C22"/>
    <w:rsid w:val="5E932E93"/>
    <w:rsid w:val="5FA4498B"/>
    <w:rsid w:val="61130716"/>
    <w:rsid w:val="61143219"/>
    <w:rsid w:val="61707CCC"/>
    <w:rsid w:val="626B6216"/>
    <w:rsid w:val="67CF5844"/>
    <w:rsid w:val="69D01878"/>
    <w:rsid w:val="6A1F4430"/>
    <w:rsid w:val="6DD05A39"/>
    <w:rsid w:val="6EC6360F"/>
    <w:rsid w:val="713118C3"/>
    <w:rsid w:val="71C02C3F"/>
    <w:rsid w:val="72BB5C94"/>
    <w:rsid w:val="732B3BA9"/>
    <w:rsid w:val="7AF0174A"/>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8">
    <w:name w:val="font91"/>
    <w:basedOn w:val="14"/>
    <w:qFormat/>
    <w:uiPriority w:val="0"/>
    <w:rPr>
      <w:rFonts w:ascii="楷体" w:hAnsi="楷体" w:eastAsia="楷体" w:cs="楷体"/>
      <w:color w:val="000000"/>
      <w:sz w:val="22"/>
      <w:szCs w:val="22"/>
      <w:u w:val="none"/>
      <w:vertAlign w:val="superscript"/>
    </w:rPr>
  </w:style>
  <w:style w:type="character" w:customStyle="1" w:styleId="19">
    <w:name w:val="font21"/>
    <w:basedOn w:val="14"/>
    <w:qFormat/>
    <w:uiPriority w:val="0"/>
    <w:rPr>
      <w:rFonts w:hint="eastAsia" w:ascii="仿宋" w:hAnsi="仿宋" w:eastAsia="仿宋" w:cs="仿宋"/>
      <w:b/>
      <w:bCs/>
      <w:color w:val="000000"/>
      <w:sz w:val="24"/>
      <w:szCs w:val="24"/>
      <w:u w:val="none"/>
    </w:rPr>
  </w:style>
  <w:style w:type="paragraph" w:customStyle="1" w:styleId="20">
    <w:name w:val="BodyText"/>
    <w:basedOn w:val="1"/>
    <w:next w:val="21"/>
    <w:qFormat/>
    <w:uiPriority w:val="0"/>
    <w:pPr>
      <w:jc w:val="both"/>
      <w:textAlignment w:val="baseline"/>
    </w:pPr>
    <w:rPr>
      <w:rFonts w:ascii="仿宋_GB2312" w:eastAsia="仿宋_GB2312"/>
      <w:kern w:val="2"/>
      <w:sz w:val="32"/>
      <w:lang w:val="en-US" w:eastAsia="zh-CN" w:bidi="ar-SA"/>
    </w:rPr>
  </w:style>
  <w:style w:type="paragraph" w:customStyle="1" w:styleId="21">
    <w:name w:val="BodyTextIndent"/>
    <w:basedOn w:val="1"/>
    <w:qFormat/>
    <w:uiPriority w:val="0"/>
    <w:pPr>
      <w:spacing w:line="700" w:lineRule="exact"/>
      <w:ind w:left="960"/>
      <w:jc w:val="both"/>
      <w:textAlignment w:val="baseline"/>
    </w:pPr>
    <w:rPr>
      <w:kern w:val="2"/>
      <w:sz w:val="44"/>
      <w:lang w:val="en-US" w:eastAsia="zh-CN" w:bidi="ar-SA"/>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4415</Words>
  <Characters>4706</Characters>
  <Lines>0</Lines>
  <Paragraphs>0</Paragraphs>
  <TotalTime>8</TotalTime>
  <ScaleCrop>false</ScaleCrop>
  <LinksUpToDate>false</LinksUpToDate>
  <CharactersWithSpaces>5319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2024-07-24T01:12:10Z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4E6D860826E94096A435A313CAD0E06D</vt:lpwstr>
  </property>
</Properties>
</file>