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eastAsia="微软雅黑"/>
          <w:sz w:val="44"/>
          <w:szCs w:val="44"/>
          <w:lang w:val="en-US" w:eastAsia="zh-CN"/>
        </w:rPr>
      </w:pPr>
      <w:r>
        <w:rPr>
          <w:rFonts w:hint="eastAsia"/>
          <w:sz w:val="44"/>
          <w:szCs w:val="44"/>
          <w:lang w:val="en-US" w:eastAsia="zh-CN"/>
        </w:rPr>
        <w:t>项目名称：单细胞转录组文库构建及测序等服务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项目编号：BSRMYY-YNCG-2025-04011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采购项目介绍</w:t>
      </w:r>
    </w:p>
    <w:tbl>
      <w:tblPr>
        <w:tblStyle w:val="13"/>
        <w:tblW w:w="52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2"/>
        <w:gridCol w:w="3089"/>
        <w:gridCol w:w="2417"/>
        <w:gridCol w:w="2513"/>
        <w:gridCol w:w="1764"/>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13"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480"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项目</w:t>
            </w:r>
            <w:r>
              <w:rPr>
                <w:rFonts w:hint="eastAsia" w:ascii="方正仿宋_GBK" w:hAnsi="方正仿宋_GBK" w:eastAsia="方正仿宋_GBK" w:cs="方正仿宋_GBK"/>
                <w:b/>
                <w:bCs/>
                <w:kern w:val="0"/>
                <w:sz w:val="28"/>
                <w:szCs w:val="28"/>
              </w:rPr>
              <w:t>名称</w:t>
            </w:r>
          </w:p>
        </w:tc>
        <w:tc>
          <w:tcPr>
            <w:tcW w:w="1158"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总价最高限价（元）</w:t>
            </w:r>
          </w:p>
        </w:tc>
        <w:tc>
          <w:tcPr>
            <w:tcW w:w="1204" w:type="pct"/>
            <w:vAlign w:val="center"/>
          </w:tcPr>
          <w:p w14:paraId="2E00993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val="en-US" w:eastAsia="zh-CN"/>
              </w:rPr>
              <w:t>履约</w:t>
            </w:r>
            <w:r>
              <w:rPr>
                <w:rFonts w:hint="eastAsia" w:ascii="方正仿宋_GBK" w:hAnsi="方正仿宋_GBK" w:eastAsia="方正仿宋_GBK" w:cs="方正仿宋_GBK"/>
                <w:b/>
                <w:bCs/>
                <w:kern w:val="0"/>
                <w:sz w:val="28"/>
                <w:szCs w:val="28"/>
                <w:lang w:eastAsia="zh-CN"/>
              </w:rPr>
              <w:t>保证金</w:t>
            </w:r>
          </w:p>
          <w:p w14:paraId="3CEEE8D8">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eastAsia="zh-CN"/>
              </w:rPr>
            </w:pPr>
            <w:r>
              <w:rPr>
                <w:rFonts w:hint="eastAsia" w:ascii="方正仿宋_GBK" w:hAnsi="方正仿宋_GBK" w:eastAsia="方正仿宋_GBK" w:cs="方正仿宋_GBK"/>
                <w:b/>
                <w:bCs/>
                <w:kern w:val="0"/>
                <w:sz w:val="28"/>
                <w:szCs w:val="28"/>
                <w:lang w:eastAsia="zh-CN"/>
              </w:rPr>
              <w:t>（元）</w:t>
            </w:r>
          </w:p>
        </w:tc>
        <w:tc>
          <w:tcPr>
            <w:tcW w:w="842"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eastAsia="zh-CN"/>
              </w:rPr>
              <w:t>成交供应商数量（名）</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13" w:type="pct"/>
            <w:vAlign w:val="center"/>
          </w:tcPr>
          <w:p w14:paraId="7B8BEA79">
            <w:pPr>
              <w:pStyle w:val="25"/>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480" w:type="pct"/>
            <w:vAlign w:val="center"/>
          </w:tcPr>
          <w:p w14:paraId="3EF1225C">
            <w:pPr>
              <w:jc w:val="left"/>
              <w:rPr>
                <w:rFonts w:hint="eastAsia" w:ascii="方正仿宋_GBK" w:hAnsi="方正仿宋_GBK" w:eastAsia="微软雅黑" w:cs="方正仿宋_GBK"/>
                <w:sz w:val="24"/>
                <w:szCs w:val="24"/>
                <w:lang w:val="en-US" w:eastAsia="zh-CN"/>
              </w:rPr>
            </w:pPr>
            <w:r>
              <w:rPr>
                <w:rFonts w:hint="eastAsia" w:ascii="方正仿宋_GBK" w:hAnsi="方正仿宋_GBK" w:eastAsia="方正仿宋_GBK" w:cs="方正仿宋_GBK"/>
                <w:sz w:val="24"/>
                <w:szCs w:val="24"/>
                <w:lang w:val="en-US" w:eastAsia="zh-CN"/>
              </w:rPr>
              <w:t>单细胞转录组文库构建及测序等</w:t>
            </w:r>
          </w:p>
        </w:tc>
        <w:tc>
          <w:tcPr>
            <w:tcW w:w="1158"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69000</w:t>
            </w:r>
          </w:p>
        </w:tc>
        <w:tc>
          <w:tcPr>
            <w:tcW w:w="1204"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6000</w:t>
            </w:r>
          </w:p>
        </w:tc>
        <w:tc>
          <w:tcPr>
            <w:tcW w:w="842"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1</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4CA7ED4E">
            <w:pPr>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注：采购项目总价最高限价69000元，包括但不限于项目服务费、配套设备辅材费、资料装订及邮寄费、税费、保险费、保密费、验收检测费等完成本项目所需的一切费用。因成交供应商自身原因造成漏报、少报皆由其自行承担责任，采购人不再补偿。</w:t>
            </w:r>
          </w:p>
        </w:tc>
      </w:tr>
    </w:tbl>
    <w:p w14:paraId="723D7FEC">
      <w:pPr>
        <w:pStyle w:val="26"/>
        <w:numPr>
          <w:ilvl w:val="0"/>
          <w:numId w:val="4"/>
        </w:numPr>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技术要求（需全部满足）</w:t>
      </w:r>
    </w:p>
    <w:tbl>
      <w:tblPr>
        <w:tblStyle w:val="13"/>
        <w:tblW w:w="544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3147"/>
        <w:gridCol w:w="3089"/>
        <w:gridCol w:w="835"/>
        <w:gridCol w:w="823"/>
        <w:gridCol w:w="2038"/>
      </w:tblGrid>
      <w:tr w14:paraId="6D6C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1471F3D3">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465" w:type="pct"/>
            <w:vAlign w:val="center"/>
          </w:tcPr>
          <w:p w14:paraId="781E3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437" w:type="pct"/>
            <w:vAlign w:val="center"/>
          </w:tcPr>
          <w:p w14:paraId="41DA3A1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服务内容</w:t>
            </w:r>
          </w:p>
        </w:tc>
        <w:tc>
          <w:tcPr>
            <w:tcW w:w="389" w:type="pct"/>
            <w:vAlign w:val="center"/>
          </w:tcPr>
          <w:p w14:paraId="3CE00B2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382" w:type="pct"/>
            <w:vAlign w:val="center"/>
          </w:tcPr>
          <w:p w14:paraId="02C8A03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949" w:type="pct"/>
            <w:vAlign w:val="center"/>
          </w:tcPr>
          <w:p w14:paraId="48ECBA4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单价限价（元）</w:t>
            </w:r>
          </w:p>
        </w:tc>
      </w:tr>
      <w:tr w14:paraId="53BDA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5" w:hRule="atLeast"/>
          <w:jc w:val="center"/>
        </w:trPr>
        <w:tc>
          <w:tcPr>
            <w:tcW w:w="374" w:type="pct"/>
            <w:shd w:val="clear" w:color="auto" w:fill="auto"/>
            <w:vAlign w:val="center"/>
          </w:tcPr>
          <w:p w14:paraId="6303FD0A">
            <w:pPr>
              <w:pStyle w:val="25"/>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1</w:t>
            </w:r>
          </w:p>
        </w:tc>
        <w:tc>
          <w:tcPr>
            <w:tcW w:w="1465" w:type="pct"/>
            <w:shd w:val="clear" w:color="auto" w:fill="auto"/>
            <w:vAlign w:val="center"/>
          </w:tcPr>
          <w:p w14:paraId="5E5ACB0C">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5’单细胞转录组文库构建及测序（100G)+单细胞TCR文库构建及测序（10G)</w:t>
            </w:r>
          </w:p>
        </w:tc>
        <w:tc>
          <w:tcPr>
            <w:tcW w:w="1437" w:type="pct"/>
            <w:shd w:val="clear" w:color="auto" w:fill="auto"/>
            <w:vAlign w:val="center"/>
          </w:tcPr>
          <w:p w14:paraId="5F5DD6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根据目标细胞数进行相应的上样，上样后观察包裹Gel beads、样品以及酶的混合物的油滴（GEMs）是否能够正常形成，将GEMs吸出转移到PCR管中进行反转录及文库构建，库检合格后上机测序，</w:t>
            </w:r>
            <w:r>
              <w:rPr>
                <w:rFonts w:hint="eastAsia" w:ascii="方正仿宋_GBK" w:hAnsi="方正仿宋_GBK" w:eastAsia="方正仿宋_GBK" w:cs="方正仿宋_GBK"/>
                <w:sz w:val="24"/>
                <w:szCs w:val="24"/>
                <w:highlight w:val="none"/>
                <w:lang w:val="en-US" w:eastAsia="zh-CN"/>
              </w:rPr>
              <w:t>采用Illumina  PE150测序策略；</w:t>
            </w:r>
          </w:p>
        </w:tc>
        <w:tc>
          <w:tcPr>
            <w:tcW w:w="389" w:type="pct"/>
            <w:shd w:val="clear" w:color="auto" w:fill="auto"/>
            <w:vAlign w:val="center"/>
          </w:tcPr>
          <w:p w14:paraId="44F001C2">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6</w:t>
            </w:r>
          </w:p>
        </w:tc>
        <w:tc>
          <w:tcPr>
            <w:tcW w:w="382" w:type="pct"/>
            <w:shd w:val="clear" w:color="auto" w:fill="auto"/>
            <w:vAlign w:val="center"/>
          </w:tcPr>
          <w:p w14:paraId="03479EAC">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个</w:t>
            </w:r>
          </w:p>
        </w:tc>
        <w:tc>
          <w:tcPr>
            <w:tcW w:w="949" w:type="pct"/>
            <w:shd w:val="clear" w:color="auto" w:fill="auto"/>
            <w:vAlign w:val="center"/>
          </w:tcPr>
          <w:p w14:paraId="7399834B">
            <w:pPr>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8000</w:t>
            </w:r>
          </w:p>
        </w:tc>
      </w:tr>
      <w:tr w14:paraId="0F0302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27289C80">
            <w:pPr>
              <w:pStyle w:val="25"/>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465" w:type="pct"/>
            <w:vAlign w:val="center"/>
          </w:tcPr>
          <w:p w14:paraId="3922A77A">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单细胞悬液制备</w:t>
            </w:r>
          </w:p>
        </w:tc>
        <w:tc>
          <w:tcPr>
            <w:tcW w:w="1437" w:type="pct"/>
            <w:vAlign w:val="center"/>
          </w:tcPr>
          <w:p w14:paraId="6DA6A930">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获得新鲜组织，经过经洗涤、酶解、重悬，制备成合适浓度的单细胞悬液，活细胞占比不低于80%；</w:t>
            </w:r>
          </w:p>
        </w:tc>
        <w:tc>
          <w:tcPr>
            <w:tcW w:w="389" w:type="pct"/>
            <w:vAlign w:val="center"/>
          </w:tcPr>
          <w:p w14:paraId="22F744F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382" w:type="pct"/>
            <w:vAlign w:val="center"/>
          </w:tcPr>
          <w:p w14:paraId="3DB4DFE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个</w:t>
            </w:r>
          </w:p>
        </w:tc>
        <w:tc>
          <w:tcPr>
            <w:tcW w:w="949" w:type="pct"/>
            <w:vAlign w:val="center"/>
          </w:tcPr>
          <w:p w14:paraId="7000F65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800</w:t>
            </w:r>
          </w:p>
        </w:tc>
      </w:tr>
      <w:tr w14:paraId="15855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4" w:type="pct"/>
            <w:vAlign w:val="center"/>
          </w:tcPr>
          <w:p w14:paraId="6A02BBC6">
            <w:pPr>
              <w:pStyle w:val="25"/>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465" w:type="pct"/>
            <w:vAlign w:val="center"/>
          </w:tcPr>
          <w:p w14:paraId="1C996A77">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个性化数据分析</w:t>
            </w:r>
          </w:p>
        </w:tc>
        <w:tc>
          <w:tcPr>
            <w:tcW w:w="1437" w:type="pct"/>
            <w:vAlign w:val="center"/>
          </w:tcPr>
          <w:p w14:paraId="2E635059">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按照客户需求完成个性化分析直至文章发表</w:t>
            </w:r>
          </w:p>
        </w:tc>
        <w:tc>
          <w:tcPr>
            <w:tcW w:w="389" w:type="pct"/>
            <w:vAlign w:val="center"/>
          </w:tcPr>
          <w:p w14:paraId="761FDBB9">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382" w:type="pct"/>
            <w:vAlign w:val="center"/>
          </w:tcPr>
          <w:p w14:paraId="71B25E24">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w:t>
            </w:r>
          </w:p>
        </w:tc>
        <w:tc>
          <w:tcPr>
            <w:tcW w:w="949" w:type="pct"/>
            <w:vAlign w:val="center"/>
          </w:tcPr>
          <w:p w14:paraId="47FE2618">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2700</w:t>
            </w:r>
          </w:p>
        </w:tc>
      </w:tr>
      <w:tr w14:paraId="101F2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3277" w:type="pct"/>
            <w:gridSpan w:val="3"/>
            <w:vAlign w:val="center"/>
          </w:tcPr>
          <w:p w14:paraId="1FE2CDC9">
            <w:pPr>
              <w:jc w:val="left"/>
              <w:rPr>
                <w:rFonts w:hint="default" w:ascii="方正仿宋_GBK" w:hAnsi="方正仿宋_GBK" w:eastAsia="方正仿宋_GBK" w:cs="方正仿宋_GBK"/>
                <w:sz w:val="24"/>
                <w:szCs w:val="24"/>
                <w:lang w:val="en-US" w:eastAsia="zh-CN"/>
              </w:rPr>
            </w:pPr>
          </w:p>
        </w:tc>
        <w:tc>
          <w:tcPr>
            <w:tcW w:w="772" w:type="pct"/>
            <w:gridSpan w:val="2"/>
            <w:vAlign w:val="center"/>
          </w:tcPr>
          <w:p w14:paraId="536CCC24">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合计</w:t>
            </w:r>
          </w:p>
        </w:tc>
        <w:tc>
          <w:tcPr>
            <w:tcW w:w="949" w:type="pct"/>
            <w:vAlign w:val="center"/>
          </w:tcPr>
          <w:p w14:paraId="2E4A878A">
            <w:pPr>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69000</w:t>
            </w:r>
          </w:p>
        </w:tc>
      </w:tr>
    </w:tbl>
    <w:p w14:paraId="01142639">
      <w:pPr>
        <w:pStyle w:val="26"/>
        <w:numPr>
          <w:ilvl w:val="0"/>
          <w:numId w:val="4"/>
        </w:numPr>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商务需求：（需全部满足）</w:t>
      </w:r>
    </w:p>
    <w:p w14:paraId="7CEF6FB6">
      <w:pPr>
        <w:pStyle w:val="26"/>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b/>
          <w:bCs/>
          <w:color w:val="auto"/>
          <w:kern w:val="0"/>
          <w:sz w:val="32"/>
          <w:szCs w:val="32"/>
          <w:lang w:val="en-US" w:eastAsia="zh-CN"/>
        </w:rPr>
        <w:t>供应商资格条件</w:t>
      </w:r>
    </w:p>
    <w:p w14:paraId="7F090AD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CB6D9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.具有独立承担民事责任的能力</w:t>
      </w:r>
      <w:r>
        <w:rPr>
          <w:rFonts w:hint="eastAsia" w:ascii="方正仿宋_GBK" w:hAnsi="方正仿宋_GBK" w:eastAsia="方正仿宋_GBK" w:cs="方正仿宋_GBK"/>
          <w:color w:val="auto"/>
          <w:sz w:val="32"/>
          <w:szCs w:val="32"/>
          <w:lang w:eastAsia="zh-CN"/>
        </w:rPr>
        <w:t>；如公司营业执照（须圈出符合资质要求的经营范围和有效期）；</w:t>
      </w:r>
    </w:p>
    <w:p w14:paraId="5B24CA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具有良好的商业信誉和健全的财务会计制度（提供承诺函）；</w:t>
      </w:r>
    </w:p>
    <w:p w14:paraId="575F4F4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3.具有履行合同所必需的设备和专业技术能力（提供承诺函）；</w:t>
      </w:r>
    </w:p>
    <w:p w14:paraId="4C45285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4.有依法缴纳税收和社会保障资金的良好记录（提供承诺函）；</w:t>
      </w:r>
    </w:p>
    <w:p w14:paraId="71EC2D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5.参加政府采购活动前三年内，在经营活动中没有重大违法记录（提供承诺函）；</w:t>
      </w:r>
    </w:p>
    <w:p w14:paraId="0BEEE77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2202C8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p>
    <w:p w14:paraId="664DD8D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1.提供2024年至今2份类似项目的合同及验收记录；</w:t>
      </w:r>
    </w:p>
    <w:p w14:paraId="723EFF4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2.提供完成本项目所需的人员、实验室相关的资质，配套设备、耗材的合格证、注册证或备案证等；</w:t>
      </w:r>
    </w:p>
    <w:p w14:paraId="6ED16EA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3.其他法律法规有关规范。</w:t>
      </w:r>
    </w:p>
    <w:p w14:paraId="101BAFF1">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（二）报价要求</w:t>
      </w:r>
    </w:p>
    <w:p w14:paraId="43AD661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本项目最高限价69000元。报价要求：本次报价采用总价进行报价，包含但不限于项目服务费、配套设备辅材费、资料装订及邮寄费、数据保密费、税费、保险费、验收检测费等完成本项目所需的一切费用。因成交供应商自身原因造成漏报、少报皆由其自行承担责任，采购人不再补偿。</w:t>
      </w:r>
      <w:r>
        <w:rPr>
          <w:rFonts w:hint="eastAsia" w:ascii="方正仿宋_GBK" w:hAnsi="方正仿宋_GBK" w:eastAsia="方正仿宋_GBK" w:cs="方正仿宋_GBK"/>
          <w:b w:val="0"/>
          <w:bCs w:val="0"/>
          <w:color w:val="auto"/>
          <w:kern w:val="0"/>
          <w:sz w:val="32"/>
          <w:szCs w:val="32"/>
          <w:highlight w:val="none"/>
          <w:lang w:val="en-US" w:eastAsia="zh-CN"/>
        </w:rPr>
        <w:t>除报送总价外，同时对各服务项目进行分项报价</w:t>
      </w:r>
      <w:r>
        <w:rPr>
          <w:rFonts w:hint="eastAsia" w:ascii="方正仿宋_GBK" w:hAnsi="方正仿宋_GBK" w:eastAsia="方正仿宋_GBK" w:cs="方正仿宋_GBK"/>
          <w:b w:val="0"/>
          <w:bCs w:val="0"/>
          <w:color w:val="auto"/>
          <w:kern w:val="0"/>
          <w:sz w:val="32"/>
          <w:szCs w:val="32"/>
          <w:lang w:val="en-US" w:eastAsia="zh-CN"/>
        </w:rPr>
        <w:t>，总价和各项目单价均不得超过采购人要求，否则视为无效报价。</w:t>
      </w:r>
    </w:p>
    <w:p w14:paraId="49381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（三）合同签订及服务期限</w:t>
      </w:r>
    </w:p>
    <w:p w14:paraId="0DCA6EE3">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0FDDD81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2天内完成单细胞悬液制备。完成单细胞悬液制备后10天内完成5’单细胞转录组文库构建及测序（100G)+单细胞TCR文库构建及测序（10G)并交付测序数据。交付测序数据后14天内完成前期个性化数据分析并交付，后续根据采购项目申请负责人要求完成个性化数据分析并交付，最长3年时间完成项目要求的所有服务内容。</w:t>
      </w:r>
      <w:r>
        <w:rPr>
          <w:rFonts w:hint="eastAsia" w:ascii="方正仿宋_GBK" w:hAnsi="方正仿宋_GBK" w:eastAsia="方正仿宋_GBK" w:cs="方正仿宋_GBK"/>
          <w:color w:val="auto"/>
          <w:sz w:val="32"/>
          <w:szCs w:val="32"/>
          <w:highlight w:val="none"/>
        </w:rPr>
        <w:t>如合作期间</w:t>
      </w:r>
      <w:r>
        <w:rPr>
          <w:rFonts w:hint="eastAsia" w:ascii="方正仿宋_GBK" w:hAnsi="方正仿宋_GBK" w:eastAsia="方正仿宋_GBK" w:cs="方正仿宋_GBK"/>
          <w:color w:val="auto"/>
          <w:sz w:val="32"/>
          <w:szCs w:val="32"/>
          <w:highlight w:val="none"/>
          <w:lang w:val="en-US" w:eastAsia="zh-CN"/>
        </w:rPr>
        <w:t>因特殊情况</w:t>
      </w:r>
      <w:r>
        <w:rPr>
          <w:rFonts w:hint="eastAsia" w:ascii="方正仿宋_GBK" w:hAnsi="方正仿宋_GBK" w:eastAsia="方正仿宋_GBK" w:cs="方正仿宋_GBK"/>
          <w:color w:val="auto"/>
          <w:sz w:val="32"/>
          <w:szCs w:val="32"/>
          <w:highlight w:val="none"/>
        </w:rPr>
        <w:t>项目数量</w:t>
      </w:r>
      <w:r>
        <w:rPr>
          <w:rFonts w:hint="eastAsia" w:ascii="方正仿宋_GBK" w:hAnsi="方正仿宋_GBK" w:eastAsia="方正仿宋_GBK" w:cs="方正仿宋_GBK"/>
          <w:color w:val="auto"/>
          <w:sz w:val="32"/>
          <w:szCs w:val="32"/>
          <w:highlight w:val="none"/>
          <w:lang w:val="en-US" w:eastAsia="zh-CN"/>
        </w:rPr>
        <w:t>减少</w:t>
      </w:r>
      <w:r>
        <w:rPr>
          <w:rFonts w:hint="eastAsia" w:ascii="方正仿宋_GBK" w:hAnsi="方正仿宋_GBK" w:eastAsia="方正仿宋_GBK" w:cs="方正仿宋_GBK"/>
          <w:color w:val="auto"/>
          <w:sz w:val="32"/>
          <w:szCs w:val="32"/>
          <w:highlight w:val="none"/>
        </w:rPr>
        <w:t>，按供应商分项报价据实结算。</w:t>
      </w:r>
    </w:p>
    <w:p w14:paraId="63825B1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64E5947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合同签订前支付履约保证金，</w:t>
      </w:r>
      <w:r>
        <w:rPr>
          <w:rFonts w:hint="default" w:ascii="方正仿宋_GBK" w:hAnsi="方正仿宋_GBK" w:eastAsia="方正仿宋_GBK" w:cs="方正仿宋_GBK"/>
          <w:b w:val="0"/>
          <w:bCs w:val="0"/>
          <w:color w:val="auto"/>
          <w:kern w:val="0"/>
          <w:sz w:val="32"/>
          <w:szCs w:val="32"/>
          <w:lang w:val="en-US" w:eastAsia="zh-CN"/>
        </w:rPr>
        <w:t>合同签订生效后一次性支付50%，验收</w:t>
      </w:r>
      <w:r>
        <w:rPr>
          <w:rFonts w:hint="eastAsia" w:ascii="方正仿宋_GBK" w:hAnsi="方正仿宋_GBK" w:eastAsia="方正仿宋_GBK" w:cs="方正仿宋_GBK"/>
          <w:b w:val="0"/>
          <w:bCs w:val="0"/>
          <w:color w:val="auto"/>
          <w:kern w:val="0"/>
          <w:sz w:val="32"/>
          <w:szCs w:val="32"/>
          <w:lang w:val="en-US" w:eastAsia="zh-CN"/>
        </w:rPr>
        <w:t>合格</w:t>
      </w:r>
      <w:r>
        <w:rPr>
          <w:rFonts w:hint="default" w:ascii="方正仿宋_GBK" w:hAnsi="方正仿宋_GBK" w:eastAsia="方正仿宋_GBK" w:cs="方正仿宋_GBK"/>
          <w:b w:val="0"/>
          <w:bCs w:val="0"/>
          <w:color w:val="auto"/>
          <w:kern w:val="0"/>
          <w:sz w:val="32"/>
          <w:szCs w:val="32"/>
          <w:lang w:val="en-US" w:eastAsia="zh-CN"/>
        </w:rPr>
        <w:t>后支付剩余50%，付款时供应商须提交全额发票、验收记录。</w:t>
      </w:r>
    </w:p>
    <w:p w14:paraId="6910BA1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（五）验收方式</w:t>
      </w:r>
    </w:p>
    <w:p w14:paraId="6F0A22B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按照采购招投标文件服务要求逐项验收，验收产生争议由采购人邀请第三方机构检测，费用由供应商承担。</w:t>
      </w:r>
    </w:p>
    <w:p w14:paraId="65D941FD">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（六）服务效果考核标准</w:t>
      </w:r>
    </w:p>
    <w:p w14:paraId="4A3D57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每个样本5’转录组提供测序后原始数据100G（不少于承诺数据量的90%），碱基质量大于20（Q20）的比例不小于90%。每个样本TCR提供测序后原始数据10G（不少于承诺数据量的90%），碱基质量大于20（Q20）的比例不小于90%。</w:t>
      </w:r>
    </w:p>
    <w:p w14:paraId="36714C7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（七）知识产权</w:t>
      </w:r>
    </w:p>
    <w:p w14:paraId="446F0A1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6670F0E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（八）履约保证金</w:t>
      </w:r>
    </w:p>
    <w:p w14:paraId="38764AE0">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合同签订前，成交供应商向采购人缴纳项目履约保证金6000元（形式可为现金、支票、汇款、银行保函等）。履约保障金将用于保障合同期限内服务的及时性和完整性、保障服务质量（服务质量争议鉴定费用将优先从履约保证金中垫付）、售后服务、供应商履约期间廉洁自律、围标串标追责和其他违约时追责。供应商无上述行为，合同期满将一次性无息退还。如有上述行为除扣除履约保证金外，同时纳入采购人供应商不良执业记录进行管理。</w:t>
      </w:r>
    </w:p>
    <w:p w14:paraId="50EC9A4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（九）配套服务</w:t>
      </w:r>
    </w:p>
    <w:p w14:paraId="2C4F9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（1）电话咨询</w:t>
      </w:r>
    </w:p>
    <w:p w14:paraId="76CF9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成交供应商应当为采购人提供技术援助电话，在30分钟内响应解答采购人在使用中遇到的问题，及时为采购人提出解决问题的建议。</w:t>
      </w:r>
    </w:p>
    <w:p w14:paraId="3DA80D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配套咨询服务。</w:t>
      </w:r>
    </w:p>
    <w:p w14:paraId="6C73BB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（2）技术指导</w:t>
      </w:r>
    </w:p>
    <w:p w14:paraId="379323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项目在执行过程中，供应商技术人员应和采购项目申请负责人保持沟通，指导和优化项目实施方案和论文发表。</w:t>
      </w:r>
    </w:p>
    <w:p w14:paraId="5E83178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保密要求</w:t>
      </w:r>
    </w:p>
    <w:p w14:paraId="6B08AF7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 xml:space="preserve">    未经采购人允许，不得将服务内容提供给第三方。</w:t>
      </w:r>
    </w:p>
    <w:p w14:paraId="26480616">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数据溯源</w:t>
      </w:r>
    </w:p>
    <w:p w14:paraId="693F04F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方正仿宋_GBK" w:eastAsia="方正仿宋_GBK" w:cs="方正仿宋_GBK"/>
          <w:color w:val="auto"/>
          <w:kern w:val="2"/>
          <w:sz w:val="32"/>
          <w:szCs w:val="32"/>
          <w:lang w:val="en-US" w:eastAsia="zh-CN" w:bidi="zh-CN"/>
        </w:rPr>
      </w:pPr>
      <w:r>
        <w:rPr>
          <w:rFonts w:hint="eastAsia" w:ascii="方正仿宋_GBK" w:hAnsi="方正仿宋_GBK" w:eastAsia="方正仿宋_GBK" w:cs="方正仿宋_GBK"/>
          <w:color w:val="auto"/>
          <w:kern w:val="2"/>
          <w:sz w:val="32"/>
          <w:szCs w:val="32"/>
          <w:lang w:val="en-US" w:eastAsia="zh-CN" w:bidi="zh-CN"/>
        </w:rPr>
        <w:t xml:space="preserve">    任何时候，采购人或第三方对数据真实性提出质疑时，供应商应提供客观检测措施对数据结果进行溯源。</w:t>
      </w:r>
    </w:p>
    <w:p w14:paraId="6AE81D7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（十）违约责任</w:t>
      </w:r>
    </w:p>
    <w:p w14:paraId="1FF39F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供应商未按采购人要求时限交付服务内容，每延迟1日，供应商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出现供应商检测内容虚假、数据分析错误等由于</w:t>
      </w:r>
      <w:r>
        <w:rPr>
          <w:rFonts w:hint="eastAsia" w:ascii="方正仿宋_GBK" w:hAnsi="方正仿宋_GBK" w:eastAsia="方正仿宋_GBK" w:cs="方正仿宋_GBK"/>
          <w:b w:val="0"/>
          <w:bCs w:val="0"/>
          <w:color w:val="auto"/>
          <w:kern w:val="0"/>
          <w:sz w:val="32"/>
          <w:szCs w:val="32"/>
          <w:lang w:val="en-US" w:eastAsia="zh-CN"/>
        </w:rPr>
        <w:t>供应商及其服务原因导致的不良事件造成采购人损失的，</w:t>
      </w:r>
      <w:r>
        <w:rPr>
          <w:rFonts w:hint="eastAsia" w:ascii="方正仿宋_GBK" w:hAnsi="方正仿宋_GBK" w:eastAsia="方正仿宋_GBK" w:cs="方正仿宋_GBK"/>
          <w:color w:val="auto"/>
          <w:sz w:val="32"/>
          <w:szCs w:val="32"/>
          <w:lang w:val="en-US" w:eastAsia="zh-CN"/>
        </w:rPr>
        <w:t>采购人有权解除合同并要求供应商退还本项目费用并承担合同总金额5倍的违约金，如违约金不足以赔偿损失的应补足损失；供应商及其服务发生泄漏检测数据及患者隐私事件，采购人有权解除合同并要求供应商返还已支付款项并承担合同总金额10倍的违约金；未按配套服务要求提供服务的，供应商将承担200元/次的违约金；若出现供应商在履约期间与采购单位工作人员发生廉洁违纪行为，及供应商主动放弃履约等情况，采购方有权解除合同，并要求供应商承担合同总金额30%的违约金。合同履行期间发生争议，协商无果由重庆市璧山区人民法院裁决。</w:t>
      </w:r>
    </w:p>
    <w:p w14:paraId="4FC7973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（十一）中选标准</w:t>
      </w:r>
    </w:p>
    <w:p w14:paraId="60087E4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（十二）其他要求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lang w:val="en-US" w:eastAsia="zh-CN" w:bidi="ar-SA"/>
        </w:rPr>
        <w:t>8.</w:t>
      </w:r>
      <w:r>
        <w:rPr>
          <w:rFonts w:hint="eastAsia" w:ascii="仿宋_GB2312" w:hAnsi="宋体" w:eastAsia="仿宋_GB2312" w:cs="宋体"/>
          <w:kern w:val="2"/>
          <w:sz w:val="32"/>
          <w:szCs w:val="32"/>
          <w:highlight w:val="none"/>
          <w:lang w:val="en-US" w:eastAsia="zh-CN" w:bidi="ar-SA"/>
        </w:rPr>
        <w:t>本项目其他采购人的合同业绩资料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资质证明、检测报告</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highlight w:val="none"/>
          <w:lang w:val="en-US" w:eastAsia="zh-CN" w:bidi="ar-SA"/>
        </w:rPr>
        <w:t>11.履约期内配套</w:t>
      </w:r>
      <w:r>
        <w:rPr>
          <w:rFonts w:hint="eastAsia" w:ascii="仿宋_GB2312" w:hAnsi="宋体" w:eastAsia="仿宋_GB2312" w:cs="宋体"/>
          <w:kern w:val="2"/>
          <w:sz w:val="32"/>
          <w:szCs w:val="32"/>
          <w:lang w:val="en-US" w:eastAsia="zh-CN" w:bidi="ar-SA"/>
        </w:rPr>
        <w:t>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12.项目服务方案（应具体到标本接收运输管理、检测进度计划、项目阶段性沟通、人员设备安排、保密措施</w:t>
      </w:r>
      <w:bookmarkStart w:id="7" w:name="_GoBack"/>
      <w:bookmarkEnd w:id="7"/>
      <w:r>
        <w:rPr>
          <w:rFonts w:hint="eastAsia" w:ascii="仿宋_GB2312" w:hAnsi="宋体" w:eastAsia="仿宋_GB2312" w:cs="宋体"/>
          <w:kern w:val="2"/>
          <w:sz w:val="32"/>
          <w:szCs w:val="32"/>
          <w:lang w:val="en-US" w:eastAsia="zh-CN" w:bidi="ar-SA"/>
        </w:rPr>
        <w:t>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13</w:t>
      </w:r>
      <w:r>
        <w:rPr>
          <w:rFonts w:hint="eastAsia" w:ascii="仿宋_GB2312" w:hAnsi="宋体" w:eastAsia="仿宋_GB2312" w:cs="宋体"/>
          <w:kern w:val="2"/>
          <w:sz w:val="32"/>
          <w:szCs w:val="32"/>
          <w:lang w:val="en-US" w:eastAsia="zh-CN" w:bidi="ar-SA"/>
        </w:rPr>
        <w:t>.投标廉政承诺书</w:t>
      </w:r>
    </w:p>
    <w:p w14:paraId="1C913CAD">
      <w:pPr>
        <w:rPr>
          <w:rFonts w:hint="eastAsia"/>
          <w:lang w:val="en-US" w:eastAsia="zh-CN"/>
        </w:rPr>
      </w:pP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p>
    <w:p w14:paraId="201DDA9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1.提供2024年至今2份类似项目的合同及验收记录；</w:t>
      </w:r>
    </w:p>
    <w:p w14:paraId="24A129C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2.提供完成本项目所需的人员、实验室相关的资质，配套设备、耗材的合格证、注册证或备案证等；</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yellow"/>
          <w:lang w:eastAsia="zh-CN"/>
        </w:rPr>
      </w:pPr>
      <w:r>
        <w:rPr>
          <w:rFonts w:hint="eastAsia" w:ascii="方正仿宋_GBK" w:hAnsi="方正仿宋_GBK" w:eastAsia="方正仿宋_GBK" w:cs="方正仿宋_GBK"/>
          <w:color w:val="auto"/>
          <w:sz w:val="32"/>
          <w:szCs w:val="32"/>
          <w:lang w:val="en-US" w:eastAsia="zh-CN"/>
        </w:rPr>
        <w:t>3.其他法律法规有关规范。</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28014297"/>
      <w:bookmarkStart w:id="2" w:name="_Toc175017344"/>
      <w:bookmarkStart w:id="3" w:name="_Toc128229304"/>
      <w:bookmarkStart w:id="4" w:name="_Toc237057793"/>
      <w:bookmarkStart w:id="5" w:name="_Toc156196472"/>
      <w:bookmarkStart w:id="6" w:name="_Toc128229747"/>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2356" w:type="dxa"/>
            <w:noWrap w:val="0"/>
            <w:vAlign w:val="top"/>
          </w:tcPr>
          <w:p w14:paraId="764B2900">
            <w:pPr>
              <w:spacing w:line="300" w:lineRule="exact"/>
              <w:rPr>
                <w:rFonts w:ascii="微软雅黑" w:hAnsi="微软雅黑" w:eastAsia="微软雅黑" w:cs="微软雅黑"/>
                <w:sz w:val="24"/>
                <w:szCs w:val="24"/>
              </w:rPr>
            </w:pPr>
          </w:p>
        </w:tc>
        <w:tc>
          <w:tcPr>
            <w:tcW w:w="1065" w:type="dxa"/>
            <w:noWrap w:val="0"/>
            <w:vAlign w:val="top"/>
          </w:tcPr>
          <w:p w14:paraId="1EF8BF9F">
            <w:pPr>
              <w:spacing w:line="300" w:lineRule="exact"/>
              <w:rPr>
                <w:rFonts w:ascii="微软雅黑" w:hAnsi="微软雅黑" w:eastAsia="微软雅黑" w:cs="微软雅黑"/>
                <w:sz w:val="24"/>
                <w:szCs w:val="24"/>
              </w:rPr>
            </w:pPr>
          </w:p>
        </w:tc>
        <w:tc>
          <w:tcPr>
            <w:tcW w:w="2249"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2356" w:type="dxa"/>
            <w:noWrap w:val="0"/>
            <w:vAlign w:val="top"/>
          </w:tcPr>
          <w:p w14:paraId="49AAE716">
            <w:pPr>
              <w:spacing w:line="300" w:lineRule="exact"/>
              <w:rPr>
                <w:rFonts w:ascii="微软雅黑" w:hAnsi="微软雅黑" w:eastAsia="微软雅黑" w:cs="微软雅黑"/>
                <w:sz w:val="24"/>
                <w:szCs w:val="24"/>
              </w:rPr>
            </w:pPr>
          </w:p>
        </w:tc>
        <w:tc>
          <w:tcPr>
            <w:tcW w:w="1065" w:type="dxa"/>
            <w:noWrap w:val="0"/>
            <w:vAlign w:val="top"/>
          </w:tcPr>
          <w:p w14:paraId="0C02AD95">
            <w:pPr>
              <w:spacing w:line="300" w:lineRule="exact"/>
              <w:rPr>
                <w:rFonts w:ascii="微软雅黑" w:hAnsi="微软雅黑" w:eastAsia="微软雅黑" w:cs="微软雅黑"/>
                <w:sz w:val="24"/>
                <w:szCs w:val="24"/>
              </w:rPr>
            </w:pPr>
          </w:p>
        </w:tc>
        <w:tc>
          <w:tcPr>
            <w:tcW w:w="2249"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2356" w:type="dxa"/>
            <w:noWrap w:val="0"/>
            <w:vAlign w:val="top"/>
          </w:tcPr>
          <w:p w14:paraId="1E8F4A1D">
            <w:pPr>
              <w:spacing w:line="300" w:lineRule="exact"/>
              <w:rPr>
                <w:rFonts w:ascii="微软雅黑" w:hAnsi="微软雅黑" w:eastAsia="微软雅黑" w:cs="微软雅黑"/>
                <w:sz w:val="24"/>
                <w:szCs w:val="24"/>
              </w:rPr>
            </w:pPr>
          </w:p>
        </w:tc>
        <w:tc>
          <w:tcPr>
            <w:tcW w:w="1065" w:type="dxa"/>
            <w:noWrap w:val="0"/>
            <w:vAlign w:val="top"/>
          </w:tcPr>
          <w:p w14:paraId="2F923AAC">
            <w:pPr>
              <w:spacing w:line="300" w:lineRule="exact"/>
              <w:rPr>
                <w:rFonts w:ascii="微软雅黑" w:hAnsi="微软雅黑" w:eastAsia="微软雅黑" w:cs="微软雅黑"/>
                <w:sz w:val="24"/>
                <w:szCs w:val="24"/>
              </w:rPr>
            </w:pPr>
          </w:p>
        </w:tc>
        <w:tc>
          <w:tcPr>
            <w:tcW w:w="2249"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2356" w:type="dxa"/>
            <w:noWrap w:val="0"/>
            <w:vAlign w:val="top"/>
          </w:tcPr>
          <w:p w14:paraId="490BC7C9">
            <w:pPr>
              <w:spacing w:line="300" w:lineRule="exact"/>
              <w:rPr>
                <w:rFonts w:ascii="微软雅黑" w:hAnsi="微软雅黑" w:eastAsia="微软雅黑" w:cs="微软雅黑"/>
                <w:sz w:val="24"/>
                <w:szCs w:val="24"/>
              </w:rPr>
            </w:pPr>
          </w:p>
        </w:tc>
        <w:tc>
          <w:tcPr>
            <w:tcW w:w="1065" w:type="dxa"/>
            <w:noWrap w:val="0"/>
            <w:vAlign w:val="top"/>
          </w:tcPr>
          <w:p w14:paraId="30EAE67B">
            <w:pPr>
              <w:spacing w:line="300" w:lineRule="exact"/>
              <w:rPr>
                <w:rFonts w:ascii="微软雅黑" w:hAnsi="微软雅黑" w:eastAsia="微软雅黑" w:cs="微软雅黑"/>
                <w:sz w:val="24"/>
                <w:szCs w:val="24"/>
              </w:rPr>
            </w:pPr>
          </w:p>
        </w:tc>
        <w:tc>
          <w:tcPr>
            <w:tcW w:w="2249"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2356" w:type="dxa"/>
            <w:noWrap w:val="0"/>
            <w:vAlign w:val="top"/>
          </w:tcPr>
          <w:p w14:paraId="31786AD8">
            <w:pPr>
              <w:spacing w:line="300" w:lineRule="exact"/>
              <w:rPr>
                <w:rFonts w:ascii="微软雅黑" w:hAnsi="微软雅黑" w:eastAsia="微软雅黑" w:cs="微软雅黑"/>
                <w:sz w:val="24"/>
                <w:szCs w:val="24"/>
              </w:rPr>
            </w:pPr>
          </w:p>
        </w:tc>
        <w:tc>
          <w:tcPr>
            <w:tcW w:w="1065" w:type="dxa"/>
            <w:noWrap w:val="0"/>
            <w:vAlign w:val="top"/>
          </w:tcPr>
          <w:p w14:paraId="5FF79B57">
            <w:pPr>
              <w:spacing w:line="300" w:lineRule="exact"/>
              <w:rPr>
                <w:rFonts w:ascii="微软雅黑" w:hAnsi="微软雅黑" w:eastAsia="微软雅黑" w:cs="微软雅黑"/>
                <w:sz w:val="24"/>
                <w:szCs w:val="24"/>
              </w:rPr>
            </w:pPr>
          </w:p>
        </w:tc>
        <w:tc>
          <w:tcPr>
            <w:tcW w:w="2249"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2356" w:type="dxa"/>
            <w:noWrap w:val="0"/>
            <w:vAlign w:val="top"/>
          </w:tcPr>
          <w:p w14:paraId="4FE065E3">
            <w:pPr>
              <w:spacing w:line="300" w:lineRule="exact"/>
              <w:rPr>
                <w:rFonts w:ascii="微软雅黑" w:hAnsi="微软雅黑" w:eastAsia="微软雅黑" w:cs="微软雅黑"/>
                <w:sz w:val="24"/>
                <w:szCs w:val="24"/>
              </w:rPr>
            </w:pPr>
          </w:p>
        </w:tc>
        <w:tc>
          <w:tcPr>
            <w:tcW w:w="1065" w:type="dxa"/>
            <w:noWrap w:val="0"/>
            <w:vAlign w:val="top"/>
          </w:tcPr>
          <w:p w14:paraId="168E28CD">
            <w:pPr>
              <w:spacing w:line="300" w:lineRule="exact"/>
              <w:rPr>
                <w:rFonts w:ascii="微软雅黑" w:hAnsi="微软雅黑" w:eastAsia="微软雅黑" w:cs="微软雅黑"/>
                <w:sz w:val="24"/>
                <w:szCs w:val="24"/>
              </w:rPr>
            </w:pPr>
          </w:p>
        </w:tc>
        <w:tc>
          <w:tcPr>
            <w:tcW w:w="2249"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rPr>
            </w:pPr>
          </w:p>
        </w:tc>
        <w:tc>
          <w:tcPr>
            <w:tcW w:w="1065" w:type="dxa"/>
            <w:noWrap w:val="0"/>
            <w:vAlign w:val="top"/>
          </w:tcPr>
          <w:p w14:paraId="460A705A">
            <w:pPr>
              <w:spacing w:line="300" w:lineRule="exact"/>
              <w:rPr>
                <w:rFonts w:ascii="微软雅黑" w:hAnsi="微软雅黑" w:eastAsia="微软雅黑" w:cs="微软雅黑"/>
                <w:sz w:val="24"/>
                <w:szCs w:val="24"/>
              </w:rPr>
            </w:pPr>
          </w:p>
        </w:tc>
        <w:tc>
          <w:tcPr>
            <w:tcW w:w="2249"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p>
        </w:tc>
        <w:tc>
          <w:tcPr>
            <w:tcW w:w="2356" w:type="dxa"/>
            <w:noWrap w:val="0"/>
            <w:vAlign w:val="top"/>
          </w:tcPr>
          <w:p w14:paraId="4B5AC615">
            <w:pPr>
              <w:spacing w:line="300" w:lineRule="exact"/>
              <w:rPr>
                <w:rFonts w:ascii="微软雅黑" w:hAnsi="微软雅黑" w:eastAsia="微软雅黑" w:cs="微软雅黑"/>
                <w:sz w:val="24"/>
                <w:szCs w:val="24"/>
              </w:rPr>
            </w:pPr>
          </w:p>
        </w:tc>
        <w:tc>
          <w:tcPr>
            <w:tcW w:w="1065" w:type="dxa"/>
            <w:noWrap w:val="0"/>
            <w:vAlign w:val="top"/>
          </w:tcPr>
          <w:p w14:paraId="5F2D2CCF">
            <w:pPr>
              <w:spacing w:line="300" w:lineRule="exact"/>
              <w:rPr>
                <w:rFonts w:ascii="微软雅黑" w:hAnsi="微软雅黑" w:eastAsia="微软雅黑" w:cs="微软雅黑"/>
                <w:sz w:val="24"/>
                <w:szCs w:val="24"/>
              </w:rPr>
            </w:pPr>
          </w:p>
        </w:tc>
        <w:tc>
          <w:tcPr>
            <w:tcW w:w="2249"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p>
        </w:tc>
        <w:tc>
          <w:tcPr>
            <w:tcW w:w="2356" w:type="dxa"/>
            <w:noWrap w:val="0"/>
            <w:vAlign w:val="top"/>
          </w:tcPr>
          <w:p w14:paraId="4CBB5A4D">
            <w:pPr>
              <w:spacing w:line="300" w:lineRule="exact"/>
              <w:rPr>
                <w:rFonts w:ascii="微软雅黑" w:hAnsi="微软雅黑" w:eastAsia="微软雅黑" w:cs="微软雅黑"/>
                <w:sz w:val="24"/>
                <w:szCs w:val="24"/>
              </w:rPr>
            </w:pPr>
          </w:p>
        </w:tc>
        <w:tc>
          <w:tcPr>
            <w:tcW w:w="1065" w:type="dxa"/>
            <w:noWrap w:val="0"/>
            <w:vAlign w:val="top"/>
          </w:tcPr>
          <w:p w14:paraId="32399EA8">
            <w:pPr>
              <w:spacing w:line="300" w:lineRule="exact"/>
              <w:rPr>
                <w:rFonts w:ascii="微软雅黑" w:hAnsi="微软雅黑" w:eastAsia="微软雅黑" w:cs="微软雅黑"/>
                <w:sz w:val="24"/>
                <w:szCs w:val="24"/>
              </w:rPr>
            </w:pPr>
          </w:p>
        </w:tc>
        <w:tc>
          <w:tcPr>
            <w:tcW w:w="2249"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p>
        </w:tc>
        <w:tc>
          <w:tcPr>
            <w:tcW w:w="2356" w:type="dxa"/>
            <w:noWrap w:val="0"/>
            <w:vAlign w:val="top"/>
          </w:tcPr>
          <w:p w14:paraId="2F453EE4">
            <w:pPr>
              <w:spacing w:line="300" w:lineRule="exact"/>
              <w:rPr>
                <w:rFonts w:ascii="微软雅黑" w:hAnsi="微软雅黑" w:eastAsia="微软雅黑" w:cs="微软雅黑"/>
                <w:sz w:val="24"/>
                <w:szCs w:val="24"/>
              </w:rPr>
            </w:pPr>
          </w:p>
        </w:tc>
        <w:tc>
          <w:tcPr>
            <w:tcW w:w="1065" w:type="dxa"/>
            <w:noWrap w:val="0"/>
            <w:vAlign w:val="top"/>
          </w:tcPr>
          <w:p w14:paraId="60726E11">
            <w:pPr>
              <w:spacing w:line="300" w:lineRule="exact"/>
              <w:rPr>
                <w:rFonts w:ascii="微软雅黑" w:hAnsi="微软雅黑" w:eastAsia="微软雅黑" w:cs="微软雅黑"/>
                <w:sz w:val="24"/>
                <w:szCs w:val="24"/>
              </w:rPr>
            </w:pPr>
          </w:p>
        </w:tc>
        <w:tc>
          <w:tcPr>
            <w:tcW w:w="2249"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7"/>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p>
        </w:tc>
        <w:tc>
          <w:tcPr>
            <w:tcW w:w="2356" w:type="dxa"/>
            <w:noWrap w:val="0"/>
            <w:vAlign w:val="top"/>
          </w:tcPr>
          <w:p w14:paraId="09FD19F7">
            <w:pPr>
              <w:spacing w:line="300" w:lineRule="exact"/>
              <w:rPr>
                <w:rFonts w:ascii="微软雅黑" w:hAnsi="微软雅黑" w:eastAsia="微软雅黑" w:cs="微软雅黑"/>
                <w:sz w:val="24"/>
                <w:szCs w:val="24"/>
              </w:rPr>
            </w:pPr>
          </w:p>
        </w:tc>
        <w:tc>
          <w:tcPr>
            <w:tcW w:w="1065" w:type="dxa"/>
            <w:noWrap w:val="0"/>
            <w:vAlign w:val="top"/>
          </w:tcPr>
          <w:p w14:paraId="3C26AA01">
            <w:pPr>
              <w:spacing w:line="300" w:lineRule="exact"/>
              <w:rPr>
                <w:rFonts w:ascii="微软雅黑" w:hAnsi="微软雅黑" w:eastAsia="微软雅黑" w:cs="微软雅黑"/>
                <w:sz w:val="24"/>
                <w:szCs w:val="24"/>
              </w:rPr>
            </w:pPr>
          </w:p>
        </w:tc>
        <w:tc>
          <w:tcPr>
            <w:tcW w:w="2249"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7"/>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6"/>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6"/>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highlight w:val="none"/>
          <w:lang w:val="en-US" w:eastAsia="zh-CN"/>
        </w:rPr>
        <w:t>本项目</w:t>
      </w:r>
      <w:r>
        <w:rPr>
          <w:rFonts w:hint="eastAsia" w:ascii="仿宋_GB2312" w:eastAsia="仿宋_GB2312" w:cs="宋体"/>
          <w:color w:val="auto"/>
          <w:sz w:val="32"/>
          <w:szCs w:val="32"/>
          <w:lang w:val="en-US" w:eastAsia="zh-CN"/>
        </w:rPr>
        <w:t>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投标服务相关资料（如资质证明、检测报告等）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履约</w:t>
      </w:r>
      <w:r>
        <w:rPr>
          <w:rFonts w:hint="eastAsia" w:ascii="方正仿宋_GBK" w:hAnsi="方正仿宋_GBK" w:eastAsia="方正仿宋_GBK" w:cs="方正仿宋_GBK"/>
          <w:b/>
          <w:bCs/>
          <w:sz w:val="32"/>
          <w:szCs w:val="32"/>
          <w:highlight w:val="none"/>
          <w:lang w:eastAsia="zh-CN"/>
        </w:rPr>
        <w:t>期内</w:t>
      </w: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highlight w:val="none"/>
          <w:lang w:val="en-US" w:eastAsia="zh-CN"/>
        </w:rPr>
        <w:t>履约期内配套</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jc w:val="center"/>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64D4D3B3">
      <w:pPr>
        <w:pStyle w:val="5"/>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lang w:val="en-US" w:eastAsia="zh-CN" w:bidi="ar-SA"/>
        </w:rPr>
        <w:t>项目服务方案（应具体到标本接收运输管理、检测进度计划、项目阶段性沟通、人员设备安排、保密措施等）</w:t>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4C02797A"/>
    <w:multiLevelType w:val="singleLevel"/>
    <w:tmpl w:val="4C02797A"/>
    <w:lvl w:ilvl="0" w:tentative="0">
      <w:start w:val="3"/>
      <w:numFmt w:val="decimal"/>
      <w:suff w:val="nothing"/>
      <w:lvlText w:val="（%1）"/>
      <w:lvlJc w:val="left"/>
    </w:lvl>
  </w:abstractNum>
  <w:abstractNum w:abstractNumId="4">
    <w:nsid w:val="593E016B"/>
    <w:multiLevelType w:val="singleLevel"/>
    <w:tmpl w:val="593E016B"/>
    <w:lvl w:ilvl="0" w:tentative="0">
      <w:start w:val="1"/>
      <w:numFmt w:val="chineseCounting"/>
      <w:suff w:val="nothing"/>
      <w:lvlText w:val="%1、"/>
      <w:lvlJc w:val="left"/>
      <w:rPr>
        <w:rFonts w:hint="eastAsia"/>
      </w:rPr>
    </w:lvl>
  </w:abstractNum>
  <w:abstractNum w:abstractNumId="5">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922346A"/>
    <w:rsid w:val="19375EE1"/>
    <w:rsid w:val="1A1C7FE3"/>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40611EDD"/>
    <w:rsid w:val="439873F8"/>
    <w:rsid w:val="442069E9"/>
    <w:rsid w:val="44C5770F"/>
    <w:rsid w:val="44EF71C4"/>
    <w:rsid w:val="45170BAD"/>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5"/>
    <w:qFormat/>
    <w:uiPriority w:val="0"/>
    <w:rPr>
      <w:rFonts w:ascii="楷体" w:hAnsi="楷体" w:eastAsia="楷体" w:cs="楷体"/>
      <w:color w:val="000000"/>
      <w:sz w:val="22"/>
      <w:szCs w:val="22"/>
      <w:u w:val="none"/>
      <w:vertAlign w:val="superscript"/>
    </w:rPr>
  </w:style>
  <w:style w:type="character" w:customStyle="1" w:styleId="22">
    <w:name w:val="font21"/>
    <w:basedOn w:val="15"/>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5683</Words>
  <Characters>5960</Characters>
  <Lines>0</Lines>
  <Paragraphs>0</Paragraphs>
  <TotalTime>0</TotalTime>
  <ScaleCrop>false</ScaleCrop>
  <LinksUpToDate>false</LinksUpToDate>
  <CharactersWithSpaces>6529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2025-04-08T08:07:09Z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