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项目名称：厚黑咖啡豆等22项物资</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项目编号：BSRMYY-YNCG-2024-02009</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6"/>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6"/>
        <w:rPr>
          <w:rFonts w:hint="eastAsia"/>
          <w:lang w:val="en-US" w:eastAsia="zh-CN"/>
        </w:rPr>
      </w:pPr>
    </w:p>
    <w:tbl>
      <w:tblPr>
        <w:tblStyle w:val="12"/>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885"/>
        <w:gridCol w:w="2055"/>
        <w:gridCol w:w="790"/>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32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417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rPr>
              <w:t>产品</w:t>
            </w:r>
            <w:r>
              <w:rPr>
                <w:rFonts w:hint="eastAsia" w:ascii="Times New Roman" w:hAnsi="Times New Roman" w:eastAsia="仿宋" w:cs="Times New Roman"/>
                <w:b/>
                <w:kern w:val="0"/>
                <w:sz w:val="24"/>
                <w:szCs w:val="24"/>
                <w:lang w:val="en-US" w:eastAsia="zh-CN"/>
              </w:rPr>
              <w:t>技术要求</w:t>
            </w:r>
            <w:r>
              <w:rPr>
                <w:rFonts w:hint="eastAsia" w:ascii="Times New Roman" w:hAnsi="Times New Roman" w:eastAsia="仿宋" w:cs="Times New Roman"/>
                <w:b/>
                <w:bCs w:val="0"/>
                <w:kern w:val="0"/>
                <w:sz w:val="24"/>
                <w:szCs w:val="24"/>
                <w:lang w:val="en-US" w:eastAsia="zh-CN"/>
              </w:rPr>
              <w:t>（须完全响应）</w:t>
            </w:r>
          </w:p>
        </w:tc>
        <w:tc>
          <w:tcPr>
            <w:tcW w:w="885" w:type="dxa"/>
            <w:vMerge w:val="restart"/>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2055" w:type="dxa"/>
            <w:vMerge w:val="restart"/>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最高单价</w:t>
            </w:r>
          </w:p>
        </w:tc>
        <w:tc>
          <w:tcPr>
            <w:tcW w:w="1575" w:type="dxa"/>
            <w:gridSpan w:val="2"/>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132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p>
        </w:tc>
        <w:tc>
          <w:tcPr>
            <w:tcW w:w="4175" w:type="dxa"/>
            <w:vMerge w:val="continue"/>
            <w:vAlign w:val="center"/>
          </w:tcPr>
          <w:p>
            <w:pPr>
              <w:widowControl/>
              <w:spacing w:line="360" w:lineRule="auto"/>
              <w:jc w:val="center"/>
              <w:rPr>
                <w:rFonts w:hint="default" w:ascii="Times New Roman" w:hAnsi="Times New Roman" w:eastAsia="仿宋" w:cs="Times New Roman"/>
                <w:b/>
                <w:kern w:val="0"/>
                <w:sz w:val="24"/>
                <w:szCs w:val="24"/>
              </w:rPr>
            </w:pPr>
          </w:p>
        </w:tc>
        <w:tc>
          <w:tcPr>
            <w:tcW w:w="885" w:type="dxa"/>
            <w:vMerge w:val="continue"/>
            <w:vAlign w:val="center"/>
          </w:tcPr>
          <w:p>
            <w:pPr>
              <w:widowControl/>
              <w:spacing w:line="360" w:lineRule="auto"/>
              <w:jc w:val="center"/>
              <w:rPr>
                <w:rFonts w:hint="eastAsia" w:eastAsia="仿宋" w:cs="Times New Roman"/>
                <w:b/>
                <w:kern w:val="0"/>
                <w:sz w:val="24"/>
                <w:szCs w:val="24"/>
                <w:lang w:eastAsia="zh-CN"/>
              </w:rPr>
            </w:pPr>
          </w:p>
        </w:tc>
        <w:tc>
          <w:tcPr>
            <w:tcW w:w="2055" w:type="dxa"/>
            <w:vMerge w:val="continue"/>
            <w:vAlign w:val="center"/>
          </w:tcPr>
          <w:p>
            <w:pPr>
              <w:widowControl/>
              <w:spacing w:line="360" w:lineRule="auto"/>
              <w:jc w:val="center"/>
              <w:rPr>
                <w:rFonts w:hint="eastAsia" w:eastAsia="仿宋" w:cs="Times New Roman"/>
                <w:b/>
                <w:kern w:val="0"/>
                <w:sz w:val="24"/>
                <w:szCs w:val="24"/>
                <w:lang w:val="en-US" w:eastAsia="zh-CN"/>
              </w:rPr>
            </w:pPr>
          </w:p>
        </w:tc>
        <w:tc>
          <w:tcPr>
            <w:tcW w:w="790"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品牌型号</w:t>
            </w:r>
          </w:p>
        </w:tc>
        <w:tc>
          <w:tcPr>
            <w:tcW w:w="78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eastAsia="宋体" w:cs="Arial"/>
                <w:i w:val="0"/>
                <w:iCs w:val="0"/>
                <w:color w:val="444444"/>
                <w:kern w:val="2"/>
                <w:sz w:val="21"/>
                <w:szCs w:val="21"/>
                <w:u w:val="none"/>
                <w:lang w:val="en-US" w:eastAsia="zh-CN" w:bidi="ar-SA"/>
              </w:rPr>
            </w:pPr>
            <w:r>
              <w:rPr>
                <w:rFonts w:hint="default" w:ascii="Arial" w:hAnsi="Arial" w:eastAsia="宋体" w:cs="Arial"/>
                <w:i w:val="0"/>
                <w:iCs w:val="0"/>
                <w:color w:val="444444"/>
                <w:kern w:val="0"/>
                <w:sz w:val="21"/>
                <w:szCs w:val="21"/>
                <w:u w:val="none"/>
                <w:lang w:val="en-US" w:eastAsia="zh-CN" w:bidi="ar"/>
              </w:rPr>
              <w:t>厚黑咖啡豆</w:t>
            </w:r>
          </w:p>
        </w:tc>
        <w:tc>
          <w:tcPr>
            <w:tcW w:w="4175" w:type="dxa"/>
            <w:vAlign w:val="center"/>
          </w:tcPr>
          <w:p>
            <w:pPr>
              <w:keepNext w:val="0"/>
              <w:keepLines w:val="0"/>
              <w:widowControl/>
              <w:suppressLineNumbers w:val="0"/>
              <w:jc w:val="left"/>
              <w:textAlignment w:val="center"/>
              <w:rPr>
                <w:rFonts w:hint="default" w:ascii="宋体" w:hAnsi="宋体" w:eastAsia="宋体" w:cs="宋体"/>
                <w:i w:val="0"/>
                <w:iCs w:val="0"/>
                <w:color w:val="444444"/>
                <w:kern w:val="2"/>
                <w:sz w:val="21"/>
                <w:szCs w:val="21"/>
                <w:u w:val="none"/>
                <w:lang w:val="en-US" w:eastAsia="zh-CN" w:bidi="ar-SA"/>
              </w:rPr>
            </w:pPr>
            <w:r>
              <w:rPr>
                <w:rFonts w:hint="eastAsia" w:ascii="宋体" w:hAnsi="宋体" w:eastAsia="宋体" w:cs="宋体"/>
                <w:i w:val="0"/>
                <w:iCs w:val="0"/>
                <w:color w:val="444444"/>
                <w:kern w:val="0"/>
                <w:sz w:val="21"/>
                <w:szCs w:val="21"/>
                <w:u w:val="none"/>
                <w:lang w:val="en-US" w:eastAsia="zh-CN" w:bidi="ar"/>
              </w:rPr>
              <w:t>咖啡豆品种：巴西、乌干达（质量等级：一级）</w:t>
            </w:r>
            <w:r>
              <w:rPr>
                <w:rFonts w:hint="eastAsia"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烘焙度：中深度；风味：坚果、奶油、黑巧克力；规格：500g/包</w:t>
            </w:r>
          </w:p>
        </w:tc>
        <w:tc>
          <w:tcPr>
            <w:tcW w:w="885" w:type="dxa"/>
            <w:vMerge w:val="restart"/>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宋体" w:hAnsi="宋体" w:eastAsia="宋体" w:cs="宋体"/>
                <w:i w:val="0"/>
                <w:iCs w:val="0"/>
                <w:color w:val="444444"/>
                <w:kern w:val="0"/>
                <w:sz w:val="21"/>
                <w:szCs w:val="21"/>
                <w:u w:val="none"/>
                <w:lang w:val="en-US" w:eastAsia="zh-CN" w:bidi="ar"/>
              </w:rPr>
              <w:t>按实际送货数量据实结算</w:t>
            </w:r>
          </w:p>
        </w:tc>
        <w:tc>
          <w:tcPr>
            <w:tcW w:w="2055" w:type="dxa"/>
            <w:vAlign w:val="center"/>
          </w:tcPr>
          <w:p>
            <w:pPr>
              <w:keepNext w:val="0"/>
              <w:keepLines w:val="0"/>
              <w:widowControl/>
              <w:suppressLineNumbers w:val="0"/>
              <w:jc w:val="left"/>
              <w:textAlignment w:val="center"/>
              <w:rPr>
                <w:rFonts w:hint="default" w:ascii="Arial" w:hAnsi="Arial" w:eastAsia="宋体" w:cs="Arial"/>
                <w:i w:val="0"/>
                <w:iCs w:val="0"/>
                <w:color w:val="444444"/>
                <w:kern w:val="2"/>
                <w:sz w:val="21"/>
                <w:szCs w:val="21"/>
                <w:u w:val="none"/>
                <w:lang w:val="en-US" w:eastAsia="zh-CN" w:bidi="ar-SA"/>
              </w:rPr>
            </w:pPr>
            <w:r>
              <w:rPr>
                <w:rFonts w:hint="default" w:ascii="Arial" w:hAnsi="Arial" w:eastAsia="宋体" w:cs="Arial"/>
                <w:i w:val="0"/>
                <w:iCs w:val="0"/>
                <w:color w:val="444444"/>
                <w:kern w:val="0"/>
                <w:sz w:val="21"/>
                <w:szCs w:val="21"/>
                <w:u w:val="none"/>
                <w:lang w:val="en-US" w:eastAsia="zh-CN" w:bidi="ar"/>
              </w:rPr>
              <w:t>65</w:t>
            </w:r>
            <w:r>
              <w:rPr>
                <w:rStyle w:val="22"/>
                <w:lang w:val="en-US" w:eastAsia="zh-CN" w:bidi="ar"/>
              </w:rPr>
              <w:t>元</w:t>
            </w:r>
            <w:r>
              <w:rPr>
                <w:rFonts w:hint="default" w:ascii="Arial" w:hAnsi="Arial" w:eastAsia="宋体" w:cs="Arial"/>
                <w:i w:val="0"/>
                <w:iCs w:val="0"/>
                <w:color w:val="444444"/>
                <w:kern w:val="0"/>
                <w:sz w:val="21"/>
                <w:szCs w:val="21"/>
                <w:u w:val="none"/>
                <w:lang w:val="en-US" w:eastAsia="zh-CN" w:bidi="ar"/>
              </w:rPr>
              <w:t>/</w:t>
            </w:r>
            <w:r>
              <w:rPr>
                <w:rStyle w:val="22"/>
                <w:lang w:val="en-US" w:eastAsia="zh-CN" w:bidi="ar"/>
              </w:rPr>
              <w:t>包</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restart"/>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纯牛奶</w:t>
            </w:r>
          </w:p>
        </w:tc>
        <w:tc>
          <w:tcPr>
            <w:tcW w:w="4175" w:type="dxa"/>
            <w:vAlign w:val="center"/>
          </w:tcPr>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sz w:val="21"/>
                <w:szCs w:val="21"/>
                <w:shd w:val="clear" w:fill="FEFEFE"/>
                <w:lang w:val="en-US" w:eastAsia="zh-CN"/>
              </w:rPr>
            </w:pPr>
            <w:r>
              <w:rPr>
                <w:rFonts w:hint="default" w:ascii="Arial" w:hAnsi="Arial" w:eastAsia="宋体" w:cs="Arial"/>
                <w:i w:val="0"/>
                <w:iCs w:val="0"/>
                <w:color w:val="444444"/>
                <w:kern w:val="0"/>
                <w:sz w:val="21"/>
                <w:szCs w:val="21"/>
                <w:u w:val="none"/>
                <w:lang w:val="en-US" w:eastAsia="zh-CN" w:bidi="ar"/>
              </w:rPr>
              <w:t>产品类型：灭菌乳；配料：生牛乳；贮存条件及保质期：常温6个月；营养成分表：蛋白质含量3.3g；脂肪含量3.6g，碳水化合物5.0g</w:t>
            </w:r>
            <w:r>
              <w:rPr>
                <w:rFonts w:hint="eastAsia" w:ascii="Arial" w:hAnsi="Arial" w:eastAsia="宋体" w:cs="Arial"/>
                <w:i w:val="0"/>
                <w:iCs w:val="0"/>
                <w:color w:val="444444"/>
                <w:kern w:val="0"/>
                <w:sz w:val="21"/>
                <w:szCs w:val="21"/>
                <w:u w:val="none"/>
                <w:lang w:val="en-US" w:eastAsia="zh-CN" w:bidi="ar"/>
              </w:rPr>
              <w:t>；规格：1L*12盒/件</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125</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件</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3</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燕麦奶</w:t>
            </w:r>
          </w:p>
        </w:tc>
        <w:tc>
          <w:tcPr>
            <w:tcW w:w="4175" w:type="dxa"/>
            <w:vAlign w:val="center"/>
          </w:tcPr>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sz w:val="21"/>
                <w:szCs w:val="21"/>
                <w:shd w:val="clear" w:fill="FEFEFE"/>
                <w:lang w:val="en-US"/>
              </w:rPr>
            </w:pPr>
            <w:r>
              <w:rPr>
                <w:rFonts w:hint="default" w:ascii="Arial" w:hAnsi="Arial" w:eastAsia="宋体" w:cs="Arial"/>
                <w:i w:val="0"/>
                <w:iCs w:val="0"/>
                <w:color w:val="444444"/>
                <w:kern w:val="0"/>
                <w:sz w:val="21"/>
                <w:szCs w:val="21"/>
                <w:u w:val="none"/>
                <w:lang w:val="en-US" w:eastAsia="zh-CN" w:bidi="ar"/>
              </w:rPr>
              <w:t>配料表:水,燕麦(≥8%),植 (CZ)物油,微晶纤维素,磷酸三钙，食用盐，羧甲基纤维素钠,磷酸氢二钾,碳酸钙,麦芽糊精。食品生产许可证编号SC12434110105073，保质期：12个月营养成分表</w:t>
            </w:r>
            <w:r>
              <w:rPr>
                <w:rFonts w:hint="eastAsia" w:ascii="Arial" w:hAnsi="Arial" w:eastAsia="宋体" w:cs="Arial"/>
                <w:i w:val="0"/>
                <w:iCs w:val="0"/>
                <w:color w:val="444444"/>
                <w:kern w:val="0"/>
                <w:sz w:val="21"/>
                <w:szCs w:val="21"/>
                <w:u w:val="none"/>
                <w:lang w:val="en-US" w:eastAsia="zh-CN" w:bidi="ar"/>
              </w:rPr>
              <w:t>；规格：1L*8盒/件</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130</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件</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4</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厚椰乳</w:t>
            </w:r>
          </w:p>
        </w:tc>
        <w:tc>
          <w:tcPr>
            <w:tcW w:w="4175" w:type="dxa"/>
            <w:vAlign w:val="center"/>
          </w:tcPr>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sz w:val="21"/>
                <w:szCs w:val="21"/>
                <w:shd w:val="clear" w:fill="FEFEFE"/>
                <w:lang w:val="en-US"/>
              </w:rPr>
            </w:pPr>
            <w:r>
              <w:rPr>
                <w:rFonts w:hint="default" w:ascii="Arial" w:hAnsi="Arial" w:eastAsia="宋体" w:cs="Arial"/>
                <w:i w:val="0"/>
                <w:iCs w:val="0"/>
                <w:color w:val="444444"/>
                <w:kern w:val="0"/>
                <w:sz w:val="21"/>
                <w:szCs w:val="21"/>
                <w:u w:val="none"/>
                <w:lang w:val="en-US" w:eastAsia="zh-CN" w:bidi="ar"/>
              </w:rPr>
              <w:t>咖啡茶饮专用椰乳（常温版） 产品类型：植物蛋白饮料；配料表:水、椰肉汁、白砂糖、椰子水、复配乳化 剂(酪蛋白酸钠、单,双甘油脂肪酸酯、氯化钾、硬脂酰乳酸钠、DL-苹果酸钠、蔗糖脂肪酸酯、磷酸二氢钾)</w:t>
            </w:r>
            <w:r>
              <w:rPr>
                <w:rFonts w:hint="eastAsia" w:ascii="Arial" w:hAnsi="Arial" w:eastAsia="宋体" w:cs="Arial"/>
                <w:i w:val="0"/>
                <w:iCs w:val="0"/>
                <w:color w:val="444444"/>
                <w:kern w:val="0"/>
                <w:sz w:val="21"/>
                <w:szCs w:val="21"/>
                <w:u w:val="none"/>
                <w:lang w:val="en-US" w:eastAsia="zh-CN" w:bidi="ar"/>
              </w:rPr>
              <w:t>；规格：1L*12盒/件</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155</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件</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5</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法式香草糖浆</w:t>
            </w:r>
          </w:p>
        </w:tc>
        <w:tc>
          <w:tcPr>
            <w:tcW w:w="4175" w:type="dxa"/>
            <w:vAlign w:val="center"/>
          </w:tcPr>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sz w:val="21"/>
                <w:szCs w:val="21"/>
                <w:shd w:val="clear" w:fill="FEFEFE"/>
                <w:lang w:val="en-US"/>
              </w:rPr>
            </w:pPr>
            <w:r>
              <w:rPr>
                <w:rFonts w:hint="default" w:ascii="Arial" w:hAnsi="Arial" w:eastAsia="宋体" w:cs="Arial"/>
                <w:i w:val="0"/>
                <w:iCs w:val="0"/>
                <w:color w:val="444444"/>
                <w:kern w:val="0"/>
                <w:sz w:val="21"/>
                <w:szCs w:val="21"/>
                <w:u w:val="none"/>
                <w:lang w:val="en-US" w:eastAsia="zh-CN" w:bidi="ar"/>
              </w:rPr>
              <w:t>配料：白砂糖、水、食品用香精、浓缩柠檬汁、山梨酸钾、焦糖色 营养成分表：碳水化合物85.5g</w:t>
            </w:r>
            <w:r>
              <w:rPr>
                <w:rFonts w:hint="eastAsia" w:ascii="Arial" w:hAnsi="Arial" w:eastAsia="宋体" w:cs="Arial"/>
                <w:i w:val="0"/>
                <w:iCs w:val="0"/>
                <w:color w:val="444444"/>
                <w:kern w:val="0"/>
                <w:sz w:val="21"/>
                <w:szCs w:val="21"/>
                <w:u w:val="none"/>
                <w:lang w:val="en-US" w:eastAsia="zh-CN" w:bidi="ar"/>
              </w:rPr>
              <w:t>；规格：700ml/瓶</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80</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瓶</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6</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焦糖糖浆</w:t>
            </w:r>
          </w:p>
        </w:tc>
        <w:tc>
          <w:tcPr>
            <w:tcW w:w="4175" w:type="dxa"/>
            <w:vAlign w:val="center"/>
          </w:tcPr>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sz w:val="21"/>
                <w:szCs w:val="21"/>
                <w:shd w:val="clear" w:fill="FEFEFE"/>
                <w:lang w:val="en-US"/>
              </w:rPr>
            </w:pPr>
            <w:r>
              <w:rPr>
                <w:rFonts w:hint="default" w:ascii="Arial" w:hAnsi="Arial" w:eastAsia="宋体" w:cs="Arial"/>
                <w:i w:val="0"/>
                <w:iCs w:val="0"/>
                <w:color w:val="444444"/>
                <w:kern w:val="0"/>
                <w:sz w:val="21"/>
                <w:szCs w:val="21"/>
                <w:u w:val="none"/>
                <w:lang w:val="en-US" w:eastAsia="zh-CN" w:bidi="ar"/>
              </w:rPr>
              <w:t>配料：白砂糖、水、食品用香精、柠檬酸、焦糖色 营养成分表：碳水化合物80.4g</w:t>
            </w:r>
            <w:r>
              <w:rPr>
                <w:rFonts w:hint="eastAsia" w:ascii="Arial" w:hAnsi="Arial" w:eastAsia="宋体" w:cs="Arial"/>
                <w:i w:val="0"/>
                <w:iCs w:val="0"/>
                <w:color w:val="444444"/>
                <w:kern w:val="0"/>
                <w:sz w:val="21"/>
                <w:szCs w:val="21"/>
                <w:u w:val="none"/>
                <w:lang w:val="en-US" w:eastAsia="zh-CN" w:bidi="ar"/>
              </w:rPr>
              <w:t>；规格：1L/瓶</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90</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瓶</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7</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榛果糖浆</w:t>
            </w:r>
          </w:p>
        </w:tc>
        <w:tc>
          <w:tcPr>
            <w:tcW w:w="4175" w:type="dxa"/>
            <w:vAlign w:val="center"/>
          </w:tcPr>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sz w:val="21"/>
                <w:szCs w:val="21"/>
                <w:shd w:val="clear" w:fill="FEFEFE"/>
                <w:lang w:val="en-US"/>
              </w:rPr>
            </w:pPr>
            <w:r>
              <w:rPr>
                <w:rFonts w:hint="default" w:ascii="Arial" w:hAnsi="Arial" w:eastAsia="宋体" w:cs="Arial"/>
                <w:i w:val="0"/>
                <w:iCs w:val="0"/>
                <w:color w:val="444444"/>
                <w:kern w:val="0"/>
                <w:sz w:val="21"/>
                <w:szCs w:val="21"/>
                <w:u w:val="none"/>
                <w:lang w:val="en-US" w:eastAsia="zh-CN" w:bidi="ar"/>
              </w:rPr>
              <w:t>配料：白砂糖、水、食品用香精、浓缩柠檬汁、山梨酸钾、焦糖色 营养成分表：碳水化合物78.0g</w:t>
            </w:r>
            <w:r>
              <w:rPr>
                <w:rFonts w:hint="eastAsia" w:ascii="Arial" w:hAnsi="Arial" w:eastAsia="宋体" w:cs="Arial"/>
                <w:i w:val="0"/>
                <w:iCs w:val="0"/>
                <w:color w:val="444444"/>
                <w:kern w:val="0"/>
                <w:sz w:val="21"/>
                <w:szCs w:val="21"/>
                <w:u w:val="none"/>
                <w:lang w:val="en-US" w:eastAsia="zh-CN" w:bidi="ar"/>
              </w:rPr>
              <w:t>；规格：1L/瓶</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90</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瓶</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8</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茉莉花糖浆</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配料：白砂糖、水、食品用香精、柠檬酸、阿拉伯胶、山梨酸钾 营养成分表：碳水化合物80.0g</w:t>
            </w:r>
            <w:r>
              <w:rPr>
                <w:rFonts w:hint="eastAsia" w:ascii="Arial" w:hAnsi="Arial" w:eastAsia="宋体" w:cs="Arial"/>
                <w:i w:val="0"/>
                <w:iCs w:val="0"/>
                <w:color w:val="444444"/>
                <w:kern w:val="0"/>
                <w:sz w:val="21"/>
                <w:szCs w:val="21"/>
                <w:u w:val="none"/>
                <w:lang w:val="en-US" w:eastAsia="zh-CN" w:bidi="ar"/>
              </w:rPr>
              <w:t>；规格：700ml/瓶</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80</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瓶</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9</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蔗糖糖浆</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配料：白砂糖、水 营养成分表：碳水化合物87.1g</w:t>
            </w:r>
            <w:r>
              <w:rPr>
                <w:rFonts w:hint="eastAsia" w:ascii="Arial" w:hAnsi="Arial" w:eastAsia="宋体" w:cs="Arial"/>
                <w:i w:val="0"/>
                <w:iCs w:val="0"/>
                <w:color w:val="444444"/>
                <w:kern w:val="0"/>
                <w:sz w:val="21"/>
                <w:szCs w:val="21"/>
                <w:u w:val="none"/>
                <w:lang w:val="en-US" w:eastAsia="zh-CN" w:bidi="ar"/>
              </w:rPr>
              <w:t>；规格：1L/瓶</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48</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瓶</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10</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福云红茶</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配料：红茶；产品类型：小种红茶；质量等级：三级；保质期：18个月</w:t>
            </w:r>
            <w:r>
              <w:rPr>
                <w:rFonts w:hint="eastAsia" w:ascii="Arial" w:hAnsi="Arial" w:eastAsia="宋体" w:cs="Arial"/>
                <w:i w:val="0"/>
                <w:iCs w:val="0"/>
                <w:color w:val="444444"/>
                <w:kern w:val="0"/>
                <w:sz w:val="21"/>
                <w:szCs w:val="21"/>
                <w:u w:val="none"/>
                <w:lang w:val="en-US" w:eastAsia="zh-CN" w:bidi="ar"/>
              </w:rPr>
              <w:t>；规格：500g/包</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40</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包</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11</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格雷伯爵红茶</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配料：红茶、食用香料 原料场地：德国 ；保质期：18个月</w:t>
            </w:r>
            <w:r>
              <w:rPr>
                <w:rFonts w:hint="eastAsia" w:ascii="Arial" w:hAnsi="Arial" w:eastAsia="宋体" w:cs="Arial"/>
                <w:i w:val="0"/>
                <w:iCs w:val="0"/>
                <w:color w:val="444444"/>
                <w:kern w:val="0"/>
                <w:sz w:val="21"/>
                <w:szCs w:val="21"/>
                <w:u w:val="none"/>
                <w:lang w:val="en-US" w:eastAsia="zh-CN" w:bidi="ar"/>
              </w:rPr>
              <w:t>；规格：180g/罐</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35</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罐</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12</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牛奶风味粉</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配料表：植脂末、葡萄糖浆、氢化植物油、乳清粉、加糖炼乳、食品添加剂{乳化剂（酪蛋白酸钠、471,481i）稳定剂（340ii,451i)、抗结剂（551）}、乳粉、白砂糖 保质期：12个月；营养成分表</w:t>
            </w:r>
            <w:r>
              <w:rPr>
                <w:rFonts w:hint="eastAsia" w:ascii="Arial" w:hAnsi="Arial" w:eastAsia="宋体" w:cs="Arial"/>
                <w:i w:val="0"/>
                <w:iCs w:val="0"/>
                <w:color w:val="444444"/>
                <w:kern w:val="0"/>
                <w:sz w:val="21"/>
                <w:szCs w:val="21"/>
                <w:u w:val="none"/>
                <w:lang w:val="en-US" w:eastAsia="zh-CN" w:bidi="ar"/>
              </w:rPr>
              <w:t>；规格：1kg/袋</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25</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袋</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13</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糖浆压嘴</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食品级PP材质</w:t>
            </w:r>
            <w:r>
              <w:rPr>
                <w:rFonts w:hint="eastAsia" w:ascii="Arial" w:hAnsi="Arial" w:eastAsia="宋体" w:cs="Arial"/>
                <w:i w:val="0"/>
                <w:iCs w:val="0"/>
                <w:color w:val="444444"/>
                <w:kern w:val="0"/>
                <w:sz w:val="21"/>
                <w:szCs w:val="21"/>
                <w:u w:val="none"/>
                <w:lang w:val="en-US" w:eastAsia="zh-CN" w:bidi="ar"/>
              </w:rPr>
              <w:t>；规格：700ml/个</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10</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个</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14</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糖浆压嘴</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食品级PP材质</w:t>
            </w:r>
            <w:r>
              <w:rPr>
                <w:rFonts w:hint="eastAsia" w:ascii="Arial" w:hAnsi="Arial" w:eastAsia="宋体" w:cs="Arial"/>
                <w:i w:val="0"/>
                <w:iCs w:val="0"/>
                <w:color w:val="444444"/>
                <w:kern w:val="0"/>
                <w:sz w:val="21"/>
                <w:szCs w:val="21"/>
                <w:u w:val="none"/>
                <w:lang w:val="en-US" w:eastAsia="zh-CN" w:bidi="ar"/>
              </w:rPr>
              <w:t>；规格：1L/个</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10</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个</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15</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咖啡机清洁粉</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成分：过碳酸钠、碳酸钠、柠檬酸钠（无磷型）</w:t>
            </w:r>
            <w:r>
              <w:rPr>
                <w:rFonts w:hint="eastAsia" w:ascii="Arial" w:hAnsi="Arial" w:eastAsia="宋体" w:cs="Arial"/>
                <w:i w:val="0"/>
                <w:iCs w:val="0"/>
                <w:color w:val="444444"/>
                <w:kern w:val="0"/>
                <w:sz w:val="21"/>
                <w:szCs w:val="21"/>
                <w:u w:val="none"/>
                <w:lang w:val="en-US" w:eastAsia="zh-CN" w:bidi="ar"/>
              </w:rPr>
              <w:t>；规格：900g/瓶</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65</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瓶</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16</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奶茶保温桶</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尺寸：24*40.6cm 食品级不锈钢</w:t>
            </w:r>
            <w:r>
              <w:rPr>
                <w:rFonts w:hint="eastAsia" w:ascii="Arial" w:hAnsi="Arial" w:eastAsia="宋体" w:cs="Arial"/>
                <w:i w:val="0"/>
                <w:iCs w:val="0"/>
                <w:color w:val="444444"/>
                <w:kern w:val="0"/>
                <w:sz w:val="21"/>
                <w:szCs w:val="21"/>
                <w:u w:val="none"/>
                <w:lang w:val="en-US" w:eastAsia="zh-CN" w:bidi="ar"/>
              </w:rPr>
              <w:t>；规格：8L/个</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120</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个</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17</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电子秤</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"材质：钢化玻璃/铝合金/ABS 电源：内置3.7V（1800mAh）锂电池供电，Type-C充电接口，通用手机充电/USB接口给产品充电（≤5V） 称重要求：量程最大值2000g，精度分度值0.1g</w:t>
            </w:r>
            <w:r>
              <w:rPr>
                <w:rFonts w:hint="eastAsia" w:ascii="Arial" w:hAnsi="Arial" w:eastAsia="宋体" w:cs="Arial"/>
                <w:i w:val="0"/>
                <w:iCs w:val="0"/>
                <w:color w:val="444444"/>
                <w:kern w:val="0"/>
                <w:sz w:val="21"/>
                <w:szCs w:val="21"/>
                <w:u w:val="none"/>
                <w:lang w:val="en-US" w:eastAsia="zh-CN" w:bidi="ar"/>
              </w:rPr>
              <w:t>；规格：常规</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180</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个</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18</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吧更</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食品级不锈钢</w:t>
            </w:r>
            <w:r>
              <w:rPr>
                <w:rFonts w:hint="eastAsia" w:ascii="Arial" w:hAnsi="Arial" w:eastAsia="宋体" w:cs="Arial"/>
                <w:i w:val="0"/>
                <w:iCs w:val="0"/>
                <w:color w:val="444444"/>
                <w:kern w:val="0"/>
                <w:sz w:val="21"/>
                <w:szCs w:val="21"/>
                <w:u w:val="none"/>
                <w:lang w:val="en-US" w:eastAsia="zh-CN" w:bidi="ar"/>
              </w:rPr>
              <w:t>；规格：12寸/个</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5</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个</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19</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塑冷水壶</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食品级PP材质，耐热-15℃—115℃</w:t>
            </w:r>
            <w:r>
              <w:rPr>
                <w:rFonts w:hint="eastAsia" w:ascii="Arial" w:hAnsi="Arial" w:eastAsia="宋体" w:cs="Arial"/>
                <w:i w:val="0"/>
                <w:iCs w:val="0"/>
                <w:color w:val="444444"/>
                <w:kern w:val="0"/>
                <w:sz w:val="21"/>
                <w:szCs w:val="21"/>
                <w:u w:val="none"/>
                <w:lang w:val="en-US" w:eastAsia="zh-CN" w:bidi="ar"/>
              </w:rPr>
              <w:t>；规格：2500ml/个</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18</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个</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20</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量杯</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食品级PP材质，耐热0℃—100℃</w:t>
            </w:r>
            <w:r>
              <w:rPr>
                <w:rFonts w:hint="eastAsia" w:ascii="Arial" w:hAnsi="Arial" w:eastAsia="宋体" w:cs="Arial"/>
                <w:i w:val="0"/>
                <w:iCs w:val="0"/>
                <w:color w:val="444444"/>
                <w:kern w:val="0"/>
                <w:sz w:val="21"/>
                <w:szCs w:val="21"/>
                <w:u w:val="none"/>
                <w:lang w:val="en-US" w:eastAsia="zh-CN" w:bidi="ar"/>
              </w:rPr>
              <w:t>；规格：500ml/个</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5</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个</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21</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量杯</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食品级PP材质，耐热0℃—100℃</w:t>
            </w:r>
            <w:r>
              <w:rPr>
                <w:rFonts w:hint="eastAsia" w:ascii="Arial" w:hAnsi="Arial" w:eastAsia="宋体" w:cs="Arial"/>
                <w:i w:val="0"/>
                <w:iCs w:val="0"/>
                <w:color w:val="444444"/>
                <w:kern w:val="0"/>
                <w:sz w:val="21"/>
                <w:szCs w:val="21"/>
                <w:u w:val="none"/>
                <w:lang w:val="en-US" w:eastAsia="zh-CN" w:bidi="ar"/>
              </w:rPr>
              <w:t>；规格：1L/个</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8</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个</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22</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s="微软雅黑"/>
                <w:i w:val="0"/>
                <w:caps w:val="0"/>
                <w:color w:val="555555"/>
                <w:spacing w:val="0"/>
                <w:sz w:val="21"/>
                <w:szCs w:val="21"/>
                <w:lang w:val="en-US" w:eastAsia="zh-CN"/>
              </w:rPr>
            </w:pPr>
            <w:r>
              <w:rPr>
                <w:rFonts w:hint="default" w:ascii="Arial" w:hAnsi="Arial" w:eastAsia="宋体" w:cs="Arial"/>
                <w:i w:val="0"/>
                <w:iCs w:val="0"/>
                <w:color w:val="444444"/>
                <w:kern w:val="0"/>
                <w:sz w:val="21"/>
                <w:szCs w:val="21"/>
                <w:u w:val="none"/>
                <w:lang w:val="en-US" w:eastAsia="zh-CN" w:bidi="ar"/>
              </w:rPr>
              <w:t>量杯</w:t>
            </w:r>
          </w:p>
        </w:tc>
        <w:tc>
          <w:tcPr>
            <w:tcW w:w="4175" w:type="dxa"/>
            <w:vAlign w:val="center"/>
          </w:tcPr>
          <w:p>
            <w:pPr>
              <w:keepNext w:val="0"/>
              <w:keepLines w:val="0"/>
              <w:widowControl/>
              <w:suppressLineNumbers w:val="0"/>
              <w:jc w:val="left"/>
              <w:textAlignment w:val="center"/>
              <w:rPr>
                <w:rFonts w:ascii="微软雅黑" w:hAnsi="微软雅黑" w:eastAsia="微软雅黑" w:cs="微软雅黑"/>
                <w:i w:val="0"/>
                <w:iCs w:val="0"/>
                <w:caps w:val="0"/>
                <w:color w:val="333333"/>
                <w:spacing w:val="0"/>
                <w:sz w:val="21"/>
                <w:szCs w:val="21"/>
                <w:shd w:val="clear" w:fill="FEFEFE"/>
              </w:rPr>
            </w:pPr>
            <w:r>
              <w:rPr>
                <w:rFonts w:hint="default" w:ascii="Arial" w:hAnsi="Arial" w:eastAsia="宋体" w:cs="Arial"/>
                <w:i w:val="0"/>
                <w:iCs w:val="0"/>
                <w:color w:val="444444"/>
                <w:kern w:val="0"/>
                <w:sz w:val="21"/>
                <w:szCs w:val="21"/>
                <w:u w:val="none"/>
                <w:lang w:val="en-US" w:eastAsia="zh-CN" w:bidi="ar"/>
              </w:rPr>
              <w:t>食品级PP材质，耐热-15℃—115℃</w:t>
            </w:r>
            <w:r>
              <w:rPr>
                <w:rFonts w:hint="eastAsia" w:ascii="Arial" w:hAnsi="Arial" w:eastAsia="宋体" w:cs="Arial"/>
                <w:i w:val="0"/>
                <w:iCs w:val="0"/>
                <w:color w:val="444444"/>
                <w:kern w:val="0"/>
                <w:sz w:val="21"/>
                <w:szCs w:val="21"/>
                <w:u w:val="none"/>
                <w:lang w:val="en-US" w:eastAsia="zh-CN" w:bidi="ar"/>
              </w:rPr>
              <w:t>；规格：5L/个</w:t>
            </w:r>
          </w:p>
        </w:tc>
        <w:tc>
          <w:tcPr>
            <w:tcW w:w="8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2055" w:type="dxa"/>
            <w:vAlign w:val="center"/>
          </w:tcPr>
          <w:p>
            <w:pPr>
              <w:keepNext w:val="0"/>
              <w:keepLines w:val="0"/>
              <w:widowControl/>
              <w:suppressLineNumbers w:val="0"/>
              <w:jc w:val="left"/>
              <w:textAlignment w:val="center"/>
              <w:rPr>
                <w:rFonts w:hint="eastAsia" w:ascii="方正仿宋_GBK" w:hAnsi="方正仿宋_GBK" w:eastAsia="方正仿宋_GBK" w:cs="方正仿宋_GBK"/>
                <w:bCs/>
                <w:sz w:val="24"/>
                <w:szCs w:val="24"/>
                <w:lang w:val="en-US" w:eastAsia="zh-CN"/>
              </w:rPr>
            </w:pPr>
            <w:r>
              <w:rPr>
                <w:rFonts w:hint="default" w:ascii="Arial" w:hAnsi="Arial" w:eastAsia="宋体" w:cs="Arial"/>
                <w:i w:val="0"/>
                <w:iCs w:val="0"/>
                <w:color w:val="444444"/>
                <w:kern w:val="0"/>
                <w:sz w:val="21"/>
                <w:szCs w:val="21"/>
                <w:u w:val="none"/>
                <w:lang w:val="en-US" w:eastAsia="zh-CN" w:bidi="ar"/>
              </w:rPr>
              <w:t>25</w:t>
            </w:r>
            <w:r>
              <w:rPr>
                <w:rFonts w:hint="eastAsia" w:ascii="宋体" w:hAnsi="宋体" w:eastAsia="宋体" w:cs="宋体"/>
                <w:i w:val="0"/>
                <w:iCs w:val="0"/>
                <w:color w:val="444444"/>
                <w:kern w:val="0"/>
                <w:sz w:val="21"/>
                <w:szCs w:val="21"/>
                <w:u w:val="none"/>
                <w:lang w:val="en-US" w:eastAsia="zh-CN" w:bidi="ar"/>
              </w:rPr>
              <w:t>元</w:t>
            </w:r>
            <w:r>
              <w:rPr>
                <w:rFonts w:hint="default" w:ascii="Arial" w:hAnsi="Arial" w:eastAsia="宋体" w:cs="Arial"/>
                <w:i w:val="0"/>
                <w:iCs w:val="0"/>
                <w:color w:val="444444"/>
                <w:kern w:val="0"/>
                <w:sz w:val="21"/>
                <w:szCs w:val="21"/>
                <w:u w:val="none"/>
                <w:lang w:val="en-US" w:eastAsia="zh-CN" w:bidi="ar"/>
              </w:rPr>
              <w:t>/</w:t>
            </w:r>
            <w:r>
              <w:rPr>
                <w:rFonts w:hint="eastAsia" w:ascii="宋体" w:hAnsi="宋体" w:eastAsia="宋体" w:cs="宋体"/>
                <w:i w:val="0"/>
                <w:iCs w:val="0"/>
                <w:color w:val="444444"/>
                <w:kern w:val="0"/>
                <w:sz w:val="21"/>
                <w:szCs w:val="21"/>
                <w:u w:val="none"/>
                <w:lang w:val="en-US" w:eastAsia="zh-CN" w:bidi="ar"/>
              </w:rPr>
              <w:t>个</w:t>
            </w:r>
          </w:p>
        </w:tc>
        <w:tc>
          <w:tcPr>
            <w:tcW w:w="790"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c>
          <w:tcPr>
            <w:tcW w:w="785" w:type="dxa"/>
            <w:vMerge w:val="continue"/>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商务部分：（须完全响应）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w:t>
            </w:r>
            <w:r>
              <w:rPr>
                <w:rFonts w:hint="eastAsia" w:ascii="方正仿宋_GBK" w:hAnsi="方正仿宋_GBK" w:eastAsia="方正仿宋_GBK" w:cs="方正仿宋_GBK"/>
                <w:sz w:val="24"/>
                <w:szCs w:val="24"/>
                <w:lang w:val="en-US" w:eastAsia="zh-CN"/>
              </w:rPr>
              <w:t>接到采购人通知24小时内免费送达制定地点</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运输装卸费、税费、保险费、验收检测费等完成本项目所需的一切费用。因成交供应商自身原因造成漏报、少报皆由其自行承担责任，采购人不再补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lang w:val="en-US" w:eastAsia="zh-CN"/>
              </w:rPr>
              <w:t>每半年结算一次，结算时供应提供送货单、发票等资料</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成交供应商在接到成交通知后20日内与采购人签订</w:t>
            </w:r>
            <w:r>
              <w:rPr>
                <w:rFonts w:hint="eastAsia" w:ascii="方正仿宋_GBK" w:hAnsi="方正仿宋_GBK" w:eastAsia="方正仿宋_GBK" w:cs="方正仿宋_GBK"/>
                <w:sz w:val="24"/>
                <w:szCs w:val="24"/>
                <w:lang w:val="en-US" w:eastAsia="zh-CN"/>
              </w:rPr>
              <w:t>单价</w:t>
            </w:r>
            <w:r>
              <w:rPr>
                <w:rFonts w:hint="eastAsia" w:ascii="方正仿宋_GBK" w:hAnsi="方正仿宋_GBK" w:eastAsia="方正仿宋_GBK" w:cs="方正仿宋_GBK"/>
                <w:sz w:val="24"/>
                <w:szCs w:val="24"/>
              </w:rPr>
              <w:t>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color w:val="FF0000"/>
                <w:sz w:val="24"/>
                <w:szCs w:val="24"/>
                <w:lang w:val="en-US" w:eastAsia="zh-CN"/>
              </w:rPr>
              <w:t>合同期限3年，市场价格拨动20%以内双方不得终止协议，超过20%双方可进行协商或重新采购</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sz w:val="24"/>
                <w:szCs w:val="24"/>
                <w:lang w:val="en-US" w:eastAsia="zh-CN"/>
              </w:rPr>
              <w:t>供应商应承诺：所有</w:t>
            </w:r>
            <w:r>
              <w:rPr>
                <w:rFonts w:hint="eastAsia" w:ascii="方正仿宋_GBK" w:hAnsi="方正仿宋_GBK" w:eastAsia="方正仿宋_GBK" w:cs="方正仿宋_GBK"/>
                <w:sz w:val="24"/>
                <w:szCs w:val="24"/>
              </w:rPr>
              <w:t>产品符合国家</w:t>
            </w:r>
            <w:r>
              <w:rPr>
                <w:rFonts w:hint="eastAsia" w:ascii="方正仿宋_GBK" w:hAnsi="方正仿宋_GBK" w:eastAsia="方正仿宋_GBK" w:cs="方正仿宋_GBK"/>
                <w:sz w:val="24"/>
                <w:szCs w:val="24"/>
                <w:lang w:val="en-US" w:eastAsia="zh-CN"/>
              </w:rPr>
              <w:t>质量和安全</w:t>
            </w:r>
            <w:r>
              <w:rPr>
                <w:rFonts w:hint="eastAsia" w:ascii="方正仿宋_GBK" w:hAnsi="方正仿宋_GBK" w:eastAsia="方正仿宋_GBK" w:cs="方正仿宋_GBK"/>
                <w:sz w:val="24"/>
                <w:szCs w:val="24"/>
              </w:rPr>
              <w:t>标准，收货产品</w:t>
            </w:r>
            <w:r>
              <w:rPr>
                <w:rFonts w:hint="eastAsia" w:ascii="方正仿宋_GBK" w:hAnsi="方正仿宋_GBK" w:eastAsia="方正仿宋_GBK" w:cs="方正仿宋_GBK"/>
                <w:sz w:val="24"/>
                <w:szCs w:val="24"/>
                <w:lang w:val="en-US" w:eastAsia="zh-CN"/>
              </w:rPr>
              <w:t>的剩余有效期不得低于总效期的五分之四，</w:t>
            </w:r>
            <w:r>
              <w:rPr>
                <w:rFonts w:hint="eastAsia" w:ascii="方正仿宋_GBK" w:hAnsi="方正仿宋_GBK" w:eastAsia="方正仿宋_GBK" w:cs="方正仿宋_GBK"/>
                <w:sz w:val="24"/>
                <w:szCs w:val="24"/>
              </w:rPr>
              <w:t>产品有任何质量问题，有权退换</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因产品质量引起的损害后果由供应商承担赔偿责任，供应商先行垫付鉴定费用。</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w:t>
            </w:r>
            <w:r>
              <w:rPr>
                <w:rFonts w:hint="eastAsia" w:ascii="方正仿宋_GBK" w:hAnsi="方正仿宋_GBK" w:eastAsia="方正仿宋_GBK" w:cs="方正仿宋_GBK"/>
                <w:sz w:val="24"/>
                <w:szCs w:val="24"/>
                <w:lang w:val="en-US" w:eastAsia="zh-CN"/>
              </w:rPr>
              <w:t>在送货单上</w:t>
            </w:r>
            <w:r>
              <w:rPr>
                <w:rFonts w:hint="eastAsia" w:ascii="方正仿宋_GBK" w:hAnsi="方正仿宋_GBK" w:eastAsia="方正仿宋_GBK" w:cs="方正仿宋_GBK"/>
                <w:sz w:val="24"/>
                <w:szCs w:val="24"/>
              </w:rPr>
              <w:t>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2.供应商应保证货物到达采购人所在地时完好无损，收货</w:t>
            </w:r>
            <w:r>
              <w:rPr>
                <w:rFonts w:hint="eastAsia" w:ascii="方正仿宋_GBK" w:hAnsi="方正仿宋_GBK" w:eastAsia="方正仿宋_GBK" w:cs="方正仿宋_GBK"/>
                <w:sz w:val="24"/>
                <w:szCs w:val="24"/>
                <w:lang w:val="en-US" w:eastAsia="zh-CN"/>
              </w:rPr>
              <w:t>时</w:t>
            </w:r>
            <w:r>
              <w:rPr>
                <w:rFonts w:hint="eastAsia" w:ascii="方正仿宋_GBK" w:hAnsi="方正仿宋_GBK" w:eastAsia="方正仿宋_GBK" w:cs="方正仿宋_GBK"/>
                <w:sz w:val="24"/>
                <w:szCs w:val="24"/>
              </w:rPr>
              <w:t>产品</w:t>
            </w:r>
            <w:r>
              <w:rPr>
                <w:rFonts w:hint="eastAsia" w:ascii="方正仿宋_GBK" w:hAnsi="方正仿宋_GBK" w:eastAsia="方正仿宋_GBK" w:cs="方正仿宋_GBK"/>
                <w:sz w:val="24"/>
                <w:szCs w:val="24"/>
                <w:lang w:val="en-US" w:eastAsia="zh-CN"/>
              </w:rPr>
              <w:t>的剩余有效期不得低于总效期的五分之四</w:t>
            </w:r>
            <w:r>
              <w:rPr>
                <w:rFonts w:hint="eastAsia" w:ascii="方正仿宋_GBK" w:hAnsi="方正仿宋_GBK" w:eastAsia="方正仿宋_GBK" w:cs="方正仿宋_GBK"/>
                <w:sz w:val="24"/>
                <w:szCs w:val="24"/>
              </w:rPr>
              <w:t>。如有缺漏、损坏，由供应商负责</w:t>
            </w:r>
            <w:r>
              <w:rPr>
                <w:rFonts w:hint="eastAsia" w:ascii="方正仿宋_GBK" w:hAnsi="方正仿宋_GBK" w:eastAsia="方正仿宋_GBK" w:cs="方正仿宋_GBK"/>
                <w:sz w:val="24"/>
                <w:szCs w:val="24"/>
                <w:lang w:val="en-US" w:eastAsia="zh-CN"/>
              </w:rPr>
              <w:t>免费</w:t>
            </w:r>
            <w:r>
              <w:rPr>
                <w:rFonts w:hint="eastAsia" w:ascii="方正仿宋_GBK" w:hAnsi="方正仿宋_GBK" w:eastAsia="方正仿宋_GBK" w:cs="方正仿宋_GBK"/>
                <w:sz w:val="24"/>
                <w:szCs w:val="24"/>
              </w:rPr>
              <w:t>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4.2设备品种、规格、数量、技术参数以及商品品牌、生产厂家等与投标文件和采购合同一致，性能指标达到规定的标准。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w:t>
            </w:r>
            <w:r>
              <w:rPr>
                <w:rFonts w:hint="eastAsia" w:ascii="方正仿宋_GBK" w:hAnsi="方正仿宋_GBK" w:eastAsia="方正仿宋_GBK" w:cs="方正仿宋_GBK"/>
                <w:color w:val="FF0000"/>
                <w:sz w:val="24"/>
                <w:szCs w:val="24"/>
                <w:lang w:val="en-US" w:eastAsia="zh-CN"/>
              </w:rPr>
              <w:t>食品类货物应保障可追溯来源，产品应有</w:t>
            </w:r>
            <w:r>
              <w:rPr>
                <w:rFonts w:hint="eastAsia" w:ascii="方正仿宋_GBK" w:hAnsi="方正仿宋_GBK" w:eastAsia="方正仿宋_GBK" w:cs="方正仿宋_GBK"/>
                <w:color w:val="FF0000"/>
                <w:sz w:val="24"/>
                <w:szCs w:val="24"/>
              </w:rPr>
              <w:t>合格证</w:t>
            </w:r>
            <w:r>
              <w:rPr>
                <w:rFonts w:hint="eastAsia" w:ascii="方正仿宋_GBK" w:hAnsi="方正仿宋_GBK" w:eastAsia="方正仿宋_GBK" w:cs="方正仿宋_GBK"/>
                <w:color w:val="FF0000"/>
                <w:sz w:val="24"/>
                <w:szCs w:val="24"/>
                <w:lang w:val="en-US" w:eastAsia="zh-CN"/>
              </w:rPr>
              <w:t>和相关企业的经营资格</w:t>
            </w:r>
            <w:r>
              <w:rPr>
                <w:rFonts w:hint="eastAsia" w:ascii="方正仿宋_GBK" w:hAnsi="方正仿宋_GBK" w:eastAsia="方正仿宋_GBK" w:cs="方正仿宋_GBK"/>
                <w:sz w:val="24"/>
                <w:szCs w:val="24"/>
              </w:rPr>
              <w:t>。</w:t>
            </w:r>
          </w:p>
          <w:p>
            <w:pPr>
              <w:spacing w:line="500" w:lineRule="exact"/>
              <w:ind w:firstLine="480" w:firstLineChars="200"/>
              <w:rPr>
                <w:rFonts w:hint="eastAsia"/>
              </w:rPr>
            </w:pPr>
            <w:r>
              <w:rPr>
                <w:rFonts w:hint="eastAsia" w:ascii="方正仿宋_GBK" w:hAnsi="方正仿宋_GBK" w:eastAsia="方正仿宋_GBK" w:cs="方正仿宋_GBK"/>
                <w:sz w:val="24"/>
                <w:szCs w:val="24"/>
                <w:lang w:val="en-US" w:eastAsia="zh-CN"/>
              </w:rPr>
              <w:t>4.4因产品质量引起的损害后果由供应商承担赔偿责任，产品由双方进行封存后，供应商垫付鉴定费用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sz w:val="24"/>
                <w:szCs w:val="24"/>
                <w:lang w:val="en-US" w:eastAsia="zh-CN"/>
              </w:rPr>
              <w:t>非食品货物</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。质保期内维修，成交供应商免费提供所有设备原厂配件。</w:t>
            </w:r>
            <w:r>
              <w:rPr>
                <w:rFonts w:hint="eastAsia" w:ascii="方正仿宋_GBK" w:hAnsi="方正仿宋_GBK" w:eastAsia="方正仿宋_GBK" w:cs="方正仿宋_GBK"/>
                <w:sz w:val="24"/>
                <w:szCs w:val="24"/>
                <w:lang w:val="en-US" w:eastAsia="zh-CN"/>
              </w:rPr>
              <w:t>食品类货物按照产品说明书提供免费质保，质保期类食物变质损坏应免费更换。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采购人遇到使用及技术问题，电话咨询不能解决的，成交供应商或制造商应在30分钟内派专业技术人员到达现场进行维护，</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小时内解决故障问题，确保产品正常工作。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2.1.4质保期内，成交供应商免费维护工作的标准须达到：设备</w:t>
            </w:r>
            <w:r>
              <w:rPr>
                <w:rFonts w:hint="eastAsia" w:ascii="方正仿宋_GBK" w:hAnsi="方正仿宋_GBK" w:eastAsia="方正仿宋_GBK" w:cs="方正仿宋_GBK"/>
                <w:sz w:val="24"/>
                <w:szCs w:val="24"/>
                <w:lang w:val="en-US" w:eastAsia="zh-CN"/>
              </w:rPr>
              <w:t>正常使用</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设备维修时，应提供备用设备进行替代，保障患者的正常诊疗。</w:t>
            </w:r>
            <w:r>
              <w:rPr>
                <w:rFonts w:hint="eastAsia" w:ascii="方正仿宋_GBK" w:hAnsi="方正仿宋_GBK" w:eastAsia="方正仿宋_GBK" w:cs="方正仿宋_GBK"/>
                <w:sz w:val="24"/>
                <w:szCs w:val="24"/>
              </w:rPr>
              <w:t>售后服务</w:t>
            </w:r>
            <w:r>
              <w:rPr>
                <w:rFonts w:hint="eastAsia" w:ascii="方正仿宋_GBK" w:hAnsi="方正仿宋_GBK" w:eastAsia="方正仿宋_GBK" w:cs="方正仿宋_GBK"/>
                <w:sz w:val="24"/>
                <w:szCs w:val="24"/>
                <w:lang w:val="en-US" w:eastAsia="zh-CN"/>
              </w:rPr>
              <w:t>方案</w:t>
            </w:r>
            <w:r>
              <w:rPr>
                <w:rFonts w:hint="eastAsia" w:ascii="方正仿宋_GBK" w:hAnsi="方正仿宋_GBK" w:eastAsia="方正仿宋_GBK" w:cs="方正仿宋_GBK"/>
                <w:sz w:val="24"/>
                <w:szCs w:val="24"/>
              </w:rPr>
              <w:t>中，</w:t>
            </w:r>
            <w:r>
              <w:rPr>
                <w:rFonts w:hint="eastAsia" w:ascii="方正仿宋_GBK" w:hAnsi="方正仿宋_GBK" w:eastAsia="方正仿宋_GBK" w:cs="方正仿宋_GBK"/>
                <w:sz w:val="24"/>
                <w:szCs w:val="24"/>
                <w:lang w:val="en-US" w:eastAsia="zh-CN"/>
              </w:rPr>
              <w:t>成交供应商</w:t>
            </w:r>
            <w:r>
              <w:rPr>
                <w:rFonts w:hint="eastAsia" w:ascii="方正仿宋_GBK" w:hAnsi="方正仿宋_GBK" w:eastAsia="方正仿宋_GBK" w:cs="方正仿宋_GBK"/>
                <w:sz w:val="24"/>
                <w:szCs w:val="24"/>
              </w:rPr>
              <w:t>维修</w:t>
            </w:r>
            <w:r>
              <w:rPr>
                <w:rFonts w:hint="eastAsia" w:ascii="方正仿宋_GBK" w:hAnsi="方正仿宋_GBK" w:eastAsia="方正仿宋_GBK" w:cs="方正仿宋_GBK"/>
                <w:sz w:val="24"/>
                <w:szCs w:val="24"/>
                <w:lang w:val="en-US" w:eastAsia="zh-CN"/>
              </w:rPr>
              <w:t>时</w:t>
            </w:r>
            <w:r>
              <w:rPr>
                <w:rFonts w:hint="eastAsia" w:ascii="方正仿宋_GBK" w:hAnsi="方正仿宋_GBK" w:eastAsia="方正仿宋_GBK" w:cs="方正仿宋_GBK"/>
                <w:sz w:val="24"/>
                <w:szCs w:val="24"/>
              </w:rPr>
              <w:t>使用的备品备件及易损件应为原厂配件，未经甲方同意不得使用非原厂配件</w:t>
            </w:r>
            <w:r>
              <w:rPr>
                <w:rFonts w:hint="eastAsia" w:ascii="方正仿宋_GBK" w:hAnsi="方正仿宋_GBK" w:eastAsia="方正仿宋_GBK" w:cs="方正仿宋_GBK"/>
                <w:sz w:val="24"/>
                <w:szCs w:val="24"/>
                <w:lang w:eastAsia="zh-CN"/>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供应商应承担所有费用并按照产品销售金额2倍进行赔偿，如对采购人照成损失应承担全部法律责任。</w:t>
            </w:r>
            <w:bookmarkStart w:id="31" w:name="_GoBack"/>
            <w:bookmarkEnd w:id="31"/>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FF0000"/>
                <w:spacing w:val="0"/>
                <w:kern w:val="0"/>
                <w:sz w:val="24"/>
                <w:szCs w:val="24"/>
                <w:lang w:val="en-US" w:eastAsia="zh-CN" w:bidi="ar"/>
              </w:rPr>
              <w:t>承诺：是否完全响应采购技术和商务要求？，产品质量保证期为？，本项目总折扣率为？%。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4"/>
                <w:szCs w:val="24"/>
                <w:lang w:val="en-US" w:eastAsia="zh-CN" w:bidi="ar"/>
              </w:rPr>
            </w:pPr>
            <w:r>
              <w:rPr>
                <w:rFonts w:hint="eastAsia" w:ascii="Times New Roman" w:hAnsi="Times New Roman" w:eastAsia="微软雅黑" w:cs="Times New Roman"/>
                <w:i w:val="0"/>
                <w:caps w:val="0"/>
                <w:color w:val="555555"/>
                <w:spacing w:val="0"/>
                <w:kern w:val="0"/>
                <w:sz w:val="24"/>
                <w:szCs w:val="24"/>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4"/>
                <w:szCs w:val="24"/>
                <w:lang w:val="en-US" w:eastAsia="zh-CN" w:bidi="ar"/>
              </w:rPr>
              <w:t xml:space="preserve">                                           日期：</w:t>
            </w:r>
            <w:r>
              <w:rPr>
                <w:rFonts w:hint="eastAsia" w:ascii="Times New Roman" w:hAnsi="Times New Roman" w:eastAsia="微软雅黑" w:cs="Times New Roman"/>
                <w:i w:val="0"/>
                <w:caps w:val="0"/>
                <w:color w:val="555555"/>
                <w:spacing w:val="0"/>
                <w:kern w:val="0"/>
                <w:sz w:val="21"/>
                <w:szCs w:val="21"/>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66549448"/>
      <w:bookmarkStart w:id="3" w:name="_Toc128229916"/>
      <w:bookmarkStart w:id="4" w:name="_Toc166139912"/>
      <w:bookmarkStart w:id="5" w:name="_Toc156196470"/>
      <w:bookmarkStart w:id="6" w:name="_Toc156730450"/>
      <w:bookmarkStart w:id="7" w:name="_Toc156196559"/>
      <w:bookmarkStart w:id="8" w:name="_Toc156815770"/>
      <w:bookmarkStart w:id="9" w:name="_Toc128229302"/>
      <w:bookmarkStart w:id="10" w:name="_Toc175017342"/>
      <w:bookmarkStart w:id="11" w:name="_Toc128229745"/>
      <w:bookmarkStart w:id="12" w:name="_Toc173677397"/>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28229303"/>
      <w:bookmarkStart w:id="14" w:name="_Toc156196471"/>
      <w:bookmarkStart w:id="15" w:name="_Toc128229746"/>
      <w:bookmarkStart w:id="16" w:name="_Toc166549449"/>
      <w:bookmarkStart w:id="17" w:name="_Toc173677398"/>
      <w:bookmarkStart w:id="18" w:name="_Toc175017343"/>
      <w:bookmarkStart w:id="19" w:name="_Toc156730451"/>
      <w:bookmarkStart w:id="20" w:name="_Toc128229917"/>
      <w:bookmarkStart w:id="21" w:name="_Toc166139913"/>
      <w:bookmarkStart w:id="22" w:name="_Toc156815771"/>
      <w:bookmarkStart w:id="23" w:name="_Toc156196560"/>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014297"/>
      <w:bookmarkStart w:id="25" w:name="_Toc237057793"/>
      <w:bookmarkStart w:id="26" w:name="_Toc156196472"/>
      <w:bookmarkStart w:id="27" w:name="_Toc173677399"/>
      <w:bookmarkStart w:id="28" w:name="_Toc128229304"/>
      <w:bookmarkStart w:id="29" w:name="_Toc175017344"/>
      <w:bookmarkStart w:id="30" w:name="_Toc12822974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56E5276"/>
    <w:rsid w:val="06FB539B"/>
    <w:rsid w:val="0C872834"/>
    <w:rsid w:val="0CE64C8D"/>
    <w:rsid w:val="0FD01451"/>
    <w:rsid w:val="122D0B62"/>
    <w:rsid w:val="1922346A"/>
    <w:rsid w:val="1AF86BE0"/>
    <w:rsid w:val="1BDE0896"/>
    <w:rsid w:val="1CF00EFC"/>
    <w:rsid w:val="1D6333EB"/>
    <w:rsid w:val="21426D4A"/>
    <w:rsid w:val="236757CC"/>
    <w:rsid w:val="2FC44243"/>
    <w:rsid w:val="33FB61AD"/>
    <w:rsid w:val="376E6279"/>
    <w:rsid w:val="38A14340"/>
    <w:rsid w:val="3D8263F7"/>
    <w:rsid w:val="44C5770F"/>
    <w:rsid w:val="44EF71C4"/>
    <w:rsid w:val="482D6FF9"/>
    <w:rsid w:val="496140CE"/>
    <w:rsid w:val="4AE139DB"/>
    <w:rsid w:val="4BDB0A24"/>
    <w:rsid w:val="4C31315D"/>
    <w:rsid w:val="4F6D75ED"/>
    <w:rsid w:val="538E6122"/>
    <w:rsid w:val="565D1A08"/>
    <w:rsid w:val="61130716"/>
    <w:rsid w:val="61143219"/>
    <w:rsid w:val="626B6216"/>
    <w:rsid w:val="67CF5844"/>
    <w:rsid w:val="69C8269A"/>
    <w:rsid w:val="69D01878"/>
    <w:rsid w:val="6A1F4430"/>
    <w:rsid w:val="6CFB500D"/>
    <w:rsid w:val="6DD05A39"/>
    <w:rsid w:val="6EC6360F"/>
    <w:rsid w:val="713118C3"/>
    <w:rsid w:val="71C02C3F"/>
    <w:rsid w:val="72BB5C94"/>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character" w:styleId="14">
    <w:name w:val="Strong"/>
    <w:basedOn w:val="13"/>
    <w:qFormat/>
    <w:uiPriority w:val="0"/>
    <w:rPr>
      <w:b/>
    </w:rPr>
  </w:style>
  <w:style w:type="paragraph" w:customStyle="1" w:styleId="1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7">
    <w:name w:val="font91"/>
    <w:basedOn w:val="13"/>
    <w:qFormat/>
    <w:uiPriority w:val="0"/>
    <w:rPr>
      <w:rFonts w:ascii="楷体" w:hAnsi="楷体" w:eastAsia="楷体" w:cs="楷体"/>
      <w:color w:val="000000"/>
      <w:sz w:val="22"/>
      <w:szCs w:val="22"/>
      <w:u w:val="none"/>
      <w:vertAlign w:val="superscript"/>
    </w:rPr>
  </w:style>
  <w:style w:type="character" w:customStyle="1" w:styleId="18">
    <w:name w:val="font21"/>
    <w:basedOn w:val="13"/>
    <w:qFormat/>
    <w:uiPriority w:val="0"/>
    <w:rPr>
      <w:rFonts w:hint="eastAsia" w:ascii="仿宋" w:hAnsi="仿宋" w:eastAsia="仿宋" w:cs="仿宋"/>
      <w:b/>
      <w:bCs/>
      <w:color w:val="000000"/>
      <w:sz w:val="24"/>
      <w:szCs w:val="24"/>
      <w:u w:val="none"/>
    </w:rPr>
  </w:style>
  <w:style w:type="paragraph" w:customStyle="1" w:styleId="19">
    <w:name w:val="BodyText"/>
    <w:basedOn w:val="1"/>
    <w:next w:val="20"/>
    <w:qFormat/>
    <w:uiPriority w:val="0"/>
    <w:pPr>
      <w:jc w:val="both"/>
      <w:textAlignment w:val="baseline"/>
    </w:pPr>
    <w:rPr>
      <w:rFonts w:ascii="仿宋_GB2312" w:eastAsia="仿宋_GB2312"/>
      <w:kern w:val="2"/>
      <w:sz w:val="32"/>
      <w:lang w:val="en-US" w:eastAsia="zh-CN" w:bidi="ar-SA"/>
    </w:rPr>
  </w:style>
  <w:style w:type="paragraph" w:customStyle="1" w:styleId="20">
    <w:name w:val="BodyTextIndent"/>
    <w:basedOn w:val="1"/>
    <w:qFormat/>
    <w:uiPriority w:val="0"/>
    <w:pPr>
      <w:spacing w:line="700" w:lineRule="exact"/>
      <w:ind w:left="960"/>
      <w:jc w:val="both"/>
      <w:textAlignment w:val="baseline"/>
    </w:pPr>
    <w:rPr>
      <w:kern w:val="2"/>
      <w:sz w:val="44"/>
      <w:lang w:val="en-US" w:eastAsia="zh-CN" w:bidi="ar-SA"/>
    </w:rPr>
  </w:style>
  <w:style w:type="paragraph" w:styleId="21">
    <w:name w:val="List Paragraph"/>
    <w:basedOn w:val="1"/>
    <w:qFormat/>
    <w:uiPriority w:val="34"/>
    <w:pPr>
      <w:ind w:firstLine="420" w:firstLineChars="200"/>
    </w:pPr>
  </w:style>
  <w:style w:type="character" w:customStyle="1" w:styleId="22">
    <w:name w:val="font11"/>
    <w:basedOn w:val="13"/>
    <w:qFormat/>
    <w:uiPriority w:val="0"/>
    <w:rPr>
      <w:rFonts w:hint="eastAsia" w:ascii="宋体" w:hAnsi="宋体" w:eastAsia="宋体" w:cs="宋体"/>
      <w:color w:val="444444"/>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1</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2024-02-28T00:17:36Z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