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highlight w:val="none"/>
          <w:lang w:val="en-US" w:eastAsia="zh-CN"/>
        </w:rPr>
      </w:pPr>
    </w:p>
    <w:p w14:paraId="6B822749">
      <w:pPr>
        <w:rPr>
          <w:rFonts w:hint="eastAsia"/>
          <w:highlight w:val="none"/>
          <w:lang w:val="en-US" w:eastAsia="zh-CN"/>
        </w:rPr>
      </w:pPr>
    </w:p>
    <w:p w14:paraId="1AF09EFF">
      <w:pPr>
        <w:jc w:val="center"/>
        <w:rPr>
          <w:rFonts w:hint="eastAsia"/>
          <w:b/>
          <w:bCs/>
          <w:sz w:val="84"/>
          <w:szCs w:val="84"/>
          <w:highlight w:val="none"/>
          <w:lang w:val="en-US" w:eastAsia="zh-CN"/>
        </w:rPr>
      </w:pPr>
    </w:p>
    <w:p w14:paraId="3CCF2768">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3668B944">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9CB864">
      <w:pPr>
        <w:jc w:val="center"/>
        <w:rPr>
          <w:rFonts w:hint="eastAsia"/>
          <w:b/>
          <w:bCs/>
          <w:sz w:val="44"/>
          <w:szCs w:val="44"/>
          <w:highlight w:val="none"/>
          <w:lang w:val="en-US" w:eastAsia="zh-CN"/>
        </w:rPr>
      </w:pPr>
    </w:p>
    <w:p w14:paraId="2B9D3DFE">
      <w:pPr>
        <w:rPr>
          <w:rFonts w:hint="eastAsia"/>
          <w:sz w:val="32"/>
          <w:szCs w:val="32"/>
          <w:highlight w:val="none"/>
          <w:lang w:val="en-US" w:eastAsia="zh-CN"/>
        </w:rPr>
      </w:pPr>
    </w:p>
    <w:p w14:paraId="48824379">
      <w:pPr>
        <w:rPr>
          <w:rFonts w:hint="eastAsia"/>
          <w:sz w:val="32"/>
          <w:szCs w:val="32"/>
          <w:highlight w:val="none"/>
          <w:lang w:val="en-US" w:eastAsia="zh-CN"/>
        </w:rPr>
      </w:pPr>
    </w:p>
    <w:p w14:paraId="7A783359">
      <w:pPr>
        <w:rPr>
          <w:rFonts w:hint="eastAsia"/>
          <w:sz w:val="32"/>
          <w:szCs w:val="32"/>
          <w:highlight w:val="none"/>
          <w:lang w:val="en-US" w:eastAsia="zh-CN"/>
        </w:rPr>
      </w:pPr>
    </w:p>
    <w:p w14:paraId="6109D1C2">
      <w:pPr>
        <w:rPr>
          <w:rFonts w:hint="eastAsia"/>
          <w:sz w:val="32"/>
          <w:szCs w:val="32"/>
          <w:highlight w:val="none"/>
          <w:lang w:val="en-US" w:eastAsia="zh-CN"/>
        </w:rPr>
      </w:pPr>
    </w:p>
    <w:p w14:paraId="20A9D2F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项目名称：双荧光素酶报告基因实验及chip-qpcr实验（含载体构建）（第二次</w:t>
      </w:r>
      <w:bookmarkStart w:id="7" w:name="_GoBack"/>
      <w:bookmarkEnd w:id="7"/>
      <w:r>
        <w:rPr>
          <w:rFonts w:hint="eastAsia"/>
          <w:sz w:val="44"/>
          <w:szCs w:val="44"/>
          <w:highlight w:val="none"/>
          <w:lang w:val="en-US" w:eastAsia="zh-CN"/>
        </w:rPr>
        <w:t>）</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编号：BSRMYY-YNCG-2025-10005</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00D59933">
      <w:pPr>
        <w:rPr>
          <w:rFonts w:hint="eastAsia"/>
          <w:sz w:val="44"/>
          <w:szCs w:val="44"/>
          <w:highlight w:val="none"/>
          <w:lang w:val="en-US" w:eastAsia="zh-CN"/>
        </w:rPr>
      </w:pPr>
      <w:r>
        <w:rPr>
          <w:rFonts w:hint="eastAsia"/>
          <w:sz w:val="44"/>
          <w:szCs w:val="44"/>
          <w:highlight w:val="none"/>
          <w:lang w:val="en-US" w:eastAsia="zh-CN"/>
        </w:rPr>
        <w:br w:type="page"/>
      </w:r>
    </w:p>
    <w:p w14:paraId="09787943">
      <w:pPr>
        <w:jc w:val="center"/>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采购需求介绍</w:t>
      </w:r>
    </w:p>
    <w:p w14:paraId="4918220D">
      <w:pPr>
        <w:pStyle w:val="2"/>
        <w:pageBreakBefore w:val="0"/>
        <w:numPr>
          <w:ilvl w:val="0"/>
          <w:numId w:val="3"/>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采购项目介绍</w:t>
      </w:r>
    </w:p>
    <w:tbl>
      <w:tblPr>
        <w:tblStyle w:val="14"/>
        <w:tblW w:w="539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925"/>
        <w:gridCol w:w="1672"/>
        <w:gridCol w:w="975"/>
        <w:gridCol w:w="906"/>
        <w:gridCol w:w="2115"/>
        <w:gridCol w:w="2040"/>
      </w:tblGrid>
      <w:tr w14:paraId="590577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8" w:hRule="atLeast"/>
          <w:jc w:val="center"/>
        </w:trPr>
        <w:tc>
          <w:tcPr>
            <w:tcW w:w="4597" w:type="dxa"/>
            <w:gridSpan w:val="2"/>
            <w:vAlign w:val="center"/>
          </w:tcPr>
          <w:p w14:paraId="4C8517E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项目</w:t>
            </w:r>
            <w:r>
              <w:rPr>
                <w:rFonts w:hint="eastAsia" w:ascii="方正仿宋_GBK" w:hAnsi="方正仿宋_GBK" w:eastAsia="方正仿宋_GBK" w:cs="方正仿宋_GBK"/>
                <w:b/>
                <w:bCs/>
                <w:kern w:val="0"/>
                <w:sz w:val="28"/>
                <w:szCs w:val="28"/>
                <w:highlight w:val="none"/>
              </w:rPr>
              <w:t>名称</w:t>
            </w:r>
          </w:p>
        </w:tc>
        <w:tc>
          <w:tcPr>
            <w:tcW w:w="975" w:type="dxa"/>
            <w:vAlign w:val="center"/>
          </w:tcPr>
          <w:p w14:paraId="3C2F73F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数量</w:t>
            </w:r>
          </w:p>
        </w:tc>
        <w:tc>
          <w:tcPr>
            <w:tcW w:w="906" w:type="dxa"/>
            <w:vAlign w:val="center"/>
          </w:tcPr>
          <w:p w14:paraId="53E0CCC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eastAsia="zh-CN"/>
              </w:rPr>
            </w:pPr>
            <w:r>
              <w:rPr>
                <w:rFonts w:hint="eastAsia" w:ascii="方正仿宋_GBK" w:hAnsi="方正仿宋_GBK" w:eastAsia="方正仿宋_GBK" w:cs="方正仿宋_GBK"/>
                <w:b/>
                <w:bCs/>
                <w:kern w:val="0"/>
                <w:sz w:val="28"/>
                <w:szCs w:val="28"/>
                <w:highlight w:val="none"/>
                <w:lang w:eastAsia="zh-CN"/>
              </w:rPr>
              <w:t>单位</w:t>
            </w:r>
          </w:p>
        </w:tc>
        <w:tc>
          <w:tcPr>
            <w:tcW w:w="2115" w:type="dxa"/>
            <w:vAlign w:val="center"/>
          </w:tcPr>
          <w:p w14:paraId="7808EE5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2040" w:type="dxa"/>
            <w:vAlign w:val="center"/>
          </w:tcPr>
          <w:p w14:paraId="4EF685C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val="0"/>
                <w:bCs w:val="0"/>
                <w:color w:val="000000" w:themeColor="text1"/>
                <w:kern w:val="0"/>
                <w:sz w:val="28"/>
                <w:szCs w:val="28"/>
                <w:highlight w:val="none"/>
                <w:lang w:eastAsia="zh-CN"/>
                <w14:textFill>
                  <w14:solidFill>
                    <w14:schemeClr w14:val="tx1"/>
                  </w14:solidFill>
                </w14:textFill>
              </w:rPr>
            </w:pPr>
            <w:r>
              <w:rPr>
                <w:rFonts w:hint="eastAsia" w:ascii="方正仿宋_GBK" w:hAnsi="方正仿宋_GBK" w:eastAsia="方正仿宋_GBK" w:cs="方正仿宋_GBK"/>
                <w:b/>
                <w:bCs/>
                <w:kern w:val="0"/>
                <w:sz w:val="28"/>
                <w:szCs w:val="28"/>
                <w:highlight w:val="none"/>
                <w:lang w:eastAsia="zh-CN"/>
              </w:rPr>
              <w:t>合计总价（元）</w:t>
            </w:r>
          </w:p>
        </w:tc>
      </w:tr>
      <w:tr w14:paraId="54F32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53" w:hRule="atLeast"/>
          <w:jc w:val="center"/>
        </w:trPr>
        <w:tc>
          <w:tcPr>
            <w:tcW w:w="2925" w:type="dxa"/>
            <w:vMerge w:val="restart"/>
            <w:vAlign w:val="center"/>
          </w:tcPr>
          <w:p w14:paraId="79DD3241">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双荧光素酶报告基因实验及chip-qpcr实验（含载体构建）</w:t>
            </w:r>
          </w:p>
        </w:tc>
        <w:tc>
          <w:tcPr>
            <w:tcW w:w="1672" w:type="dxa"/>
            <w:vAlign w:val="center"/>
          </w:tcPr>
          <w:p w14:paraId="32D13EB2">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微软雅黑" w:cs="方正仿宋_GBK"/>
                <w:sz w:val="24"/>
                <w:szCs w:val="24"/>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 xml:space="preserve">ChIP-qPCR 实验 </w:t>
            </w:r>
          </w:p>
        </w:tc>
        <w:tc>
          <w:tcPr>
            <w:tcW w:w="975" w:type="dxa"/>
            <w:vAlign w:val="center"/>
          </w:tcPr>
          <w:p w14:paraId="2F113F89">
            <w:pPr>
              <w:jc w:val="center"/>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1</w:t>
            </w:r>
          </w:p>
        </w:tc>
        <w:tc>
          <w:tcPr>
            <w:tcW w:w="906" w:type="dxa"/>
            <w:vAlign w:val="center"/>
          </w:tcPr>
          <w:p w14:paraId="65042AF6">
            <w:pPr>
              <w:jc w:val="center"/>
              <w:rPr>
                <w:rFonts w:hint="default"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项</w:t>
            </w:r>
          </w:p>
        </w:tc>
        <w:tc>
          <w:tcPr>
            <w:tcW w:w="2115" w:type="dxa"/>
            <w:vAlign w:val="center"/>
          </w:tcPr>
          <w:p w14:paraId="3BEB525A">
            <w:pPr>
              <w:jc w:val="center"/>
              <w:rPr>
                <w:rFonts w:hint="eastAsia" w:ascii="方正仿宋_GBK" w:hAnsi="方正仿宋_GBK" w:eastAsia="方正仿宋_GBK" w:cs="方正仿宋_GBK"/>
                <w:sz w:val="24"/>
                <w:szCs w:val="24"/>
                <w:highlight w:val="none"/>
                <w:lang w:val="en-US" w:eastAsia="zh-CN"/>
              </w:rPr>
            </w:pPr>
            <w:r>
              <w:rPr>
                <w:rFonts w:hint="default" w:ascii="方正仿宋_GBK" w:hAnsi="方正仿宋_GBK" w:eastAsia="方正仿宋_GBK" w:cs="方正仿宋_GBK"/>
                <w:b/>
                <w:bCs/>
                <w:kern w:val="2"/>
                <w:sz w:val="28"/>
                <w:szCs w:val="28"/>
                <w:highlight w:val="none"/>
                <w:lang w:val="en-US" w:eastAsia="zh-CN" w:bidi="ar-SA"/>
              </w:rPr>
              <w:t>8500</w:t>
            </w:r>
          </w:p>
        </w:tc>
        <w:tc>
          <w:tcPr>
            <w:tcW w:w="2040" w:type="dxa"/>
            <w:vMerge w:val="restart"/>
            <w:vAlign w:val="center"/>
          </w:tcPr>
          <w:p w14:paraId="3F235CE6">
            <w:pPr>
              <w:jc w:val="center"/>
              <w:rPr>
                <w:rFonts w:hint="default" w:ascii="方正仿宋_GBK" w:hAnsi="方正仿宋_GBK" w:eastAsia="方正仿宋_GBK" w:cs="方正仿宋_GBK"/>
                <w:b w:val="0"/>
                <w:bCs w:val="0"/>
                <w:color w:val="000000" w:themeColor="text1"/>
                <w:kern w:val="2"/>
                <w:sz w:val="28"/>
                <w:szCs w:val="28"/>
                <w:highlight w:val="none"/>
                <w:lang w:val="en-US" w:eastAsia="zh-CN" w:bidi="ar-SA"/>
                <w14:textFill>
                  <w14:solidFill>
                    <w14:schemeClr w14:val="tx1"/>
                  </w14:solidFill>
                </w14:textFill>
              </w:rPr>
            </w:pPr>
            <w:r>
              <w:rPr>
                <w:rFonts w:hint="eastAsia" w:ascii="方正仿宋_GBK" w:hAnsi="方正仿宋_GBK" w:eastAsia="方正仿宋_GBK" w:cs="方正仿宋_GBK"/>
                <w:b/>
                <w:bCs/>
                <w:kern w:val="2"/>
                <w:sz w:val="28"/>
                <w:szCs w:val="28"/>
                <w:highlight w:val="none"/>
                <w:lang w:val="en-US" w:eastAsia="zh-CN" w:bidi="ar-SA"/>
              </w:rPr>
              <w:t>16631</w:t>
            </w:r>
          </w:p>
        </w:tc>
      </w:tr>
      <w:tr w14:paraId="507223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53" w:hRule="atLeast"/>
          <w:jc w:val="center"/>
        </w:trPr>
        <w:tc>
          <w:tcPr>
            <w:tcW w:w="2925" w:type="dxa"/>
            <w:vMerge w:val="continue"/>
            <w:vAlign w:val="center"/>
          </w:tcPr>
          <w:p w14:paraId="3935E95C">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p>
        </w:tc>
        <w:tc>
          <w:tcPr>
            <w:tcW w:w="1672" w:type="dxa"/>
            <w:vAlign w:val="center"/>
          </w:tcPr>
          <w:p w14:paraId="18E34E92">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 xml:space="preserve">双荧光素酶报告基因实验 </w:t>
            </w:r>
          </w:p>
        </w:tc>
        <w:tc>
          <w:tcPr>
            <w:tcW w:w="975" w:type="dxa"/>
            <w:vAlign w:val="center"/>
          </w:tcPr>
          <w:p w14:paraId="6CE59312">
            <w:pPr>
              <w:jc w:val="center"/>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1</w:t>
            </w:r>
          </w:p>
        </w:tc>
        <w:tc>
          <w:tcPr>
            <w:tcW w:w="906" w:type="dxa"/>
            <w:vAlign w:val="center"/>
          </w:tcPr>
          <w:p w14:paraId="355C478C">
            <w:pPr>
              <w:jc w:val="center"/>
              <w:rPr>
                <w:rFonts w:hint="default"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项</w:t>
            </w:r>
          </w:p>
        </w:tc>
        <w:tc>
          <w:tcPr>
            <w:tcW w:w="2115" w:type="dxa"/>
            <w:vAlign w:val="center"/>
          </w:tcPr>
          <w:p w14:paraId="1DE94EC1">
            <w:pPr>
              <w:jc w:val="center"/>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4798</w:t>
            </w:r>
          </w:p>
        </w:tc>
        <w:tc>
          <w:tcPr>
            <w:tcW w:w="2040" w:type="dxa"/>
            <w:vMerge w:val="continue"/>
            <w:vAlign w:val="center"/>
          </w:tcPr>
          <w:p w14:paraId="79C5E420">
            <w:pPr>
              <w:jc w:val="center"/>
              <w:rPr>
                <w:rFonts w:hint="eastAsia" w:ascii="方正仿宋_GBK" w:hAnsi="方正仿宋_GBK" w:eastAsia="方正仿宋_GBK" w:cs="方正仿宋_GBK"/>
                <w:b/>
                <w:bCs/>
                <w:color w:val="000000" w:themeColor="text1"/>
                <w:kern w:val="2"/>
                <w:sz w:val="28"/>
                <w:szCs w:val="28"/>
                <w:highlight w:val="none"/>
                <w:lang w:val="en-US" w:eastAsia="zh-CN" w:bidi="ar-SA"/>
                <w14:textFill>
                  <w14:solidFill>
                    <w14:schemeClr w14:val="tx1"/>
                  </w14:solidFill>
                </w14:textFill>
              </w:rPr>
            </w:pPr>
          </w:p>
        </w:tc>
      </w:tr>
      <w:tr w14:paraId="48D6F2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53" w:hRule="atLeast"/>
          <w:jc w:val="center"/>
        </w:trPr>
        <w:tc>
          <w:tcPr>
            <w:tcW w:w="2925" w:type="dxa"/>
            <w:vMerge w:val="continue"/>
            <w:vAlign w:val="center"/>
          </w:tcPr>
          <w:p w14:paraId="56CA793C">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p>
        </w:tc>
        <w:tc>
          <w:tcPr>
            <w:tcW w:w="1672" w:type="dxa"/>
            <w:vAlign w:val="center"/>
          </w:tcPr>
          <w:p w14:paraId="250B4366">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 xml:space="preserve">基因合成及缺失载体构建 </w:t>
            </w:r>
          </w:p>
        </w:tc>
        <w:tc>
          <w:tcPr>
            <w:tcW w:w="975" w:type="dxa"/>
            <w:vAlign w:val="center"/>
          </w:tcPr>
          <w:p w14:paraId="609A913B">
            <w:pPr>
              <w:jc w:val="center"/>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3</w:t>
            </w:r>
          </w:p>
        </w:tc>
        <w:tc>
          <w:tcPr>
            <w:tcW w:w="906" w:type="dxa"/>
            <w:vAlign w:val="center"/>
          </w:tcPr>
          <w:p w14:paraId="4968CE7D">
            <w:pPr>
              <w:jc w:val="center"/>
              <w:rPr>
                <w:rFonts w:hint="default"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个</w:t>
            </w:r>
          </w:p>
        </w:tc>
        <w:tc>
          <w:tcPr>
            <w:tcW w:w="2115" w:type="dxa"/>
            <w:vAlign w:val="center"/>
          </w:tcPr>
          <w:p w14:paraId="4EF7411D">
            <w:pPr>
              <w:jc w:val="center"/>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1111</w:t>
            </w:r>
          </w:p>
        </w:tc>
        <w:tc>
          <w:tcPr>
            <w:tcW w:w="2040" w:type="dxa"/>
            <w:vMerge w:val="continue"/>
            <w:vAlign w:val="center"/>
          </w:tcPr>
          <w:p w14:paraId="332CA400">
            <w:pPr>
              <w:jc w:val="center"/>
              <w:rPr>
                <w:rFonts w:hint="eastAsia" w:ascii="方正仿宋_GBK" w:hAnsi="方正仿宋_GBK" w:eastAsia="方正仿宋_GBK" w:cs="方正仿宋_GBK"/>
                <w:b/>
                <w:bCs/>
                <w:color w:val="000000" w:themeColor="text1"/>
                <w:kern w:val="2"/>
                <w:sz w:val="28"/>
                <w:szCs w:val="28"/>
                <w:highlight w:val="none"/>
                <w:lang w:val="en-US" w:eastAsia="zh-CN" w:bidi="ar-SA"/>
                <w14:textFill>
                  <w14:solidFill>
                    <w14:schemeClr w14:val="tx1"/>
                  </w14:solidFill>
                </w14:textFill>
              </w:rPr>
            </w:pPr>
          </w:p>
        </w:tc>
      </w:tr>
    </w:tbl>
    <w:p w14:paraId="550A0A2D">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技术要求（需全部满足）</w:t>
      </w:r>
    </w:p>
    <w:tbl>
      <w:tblPr>
        <w:tblStyle w:val="14"/>
        <w:tblW w:w="568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283"/>
        <w:gridCol w:w="8929"/>
      </w:tblGrid>
      <w:tr w14:paraId="0704C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18" w:type="pct"/>
            <w:vAlign w:val="center"/>
          </w:tcPr>
          <w:p w14:paraId="35A4EED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项目</w:t>
            </w:r>
            <w:r>
              <w:rPr>
                <w:rFonts w:hint="eastAsia" w:ascii="方正仿宋_GBK" w:hAnsi="方正仿宋_GBK" w:eastAsia="方正仿宋_GBK" w:cs="方正仿宋_GBK"/>
                <w:b/>
                <w:bCs/>
                <w:kern w:val="0"/>
                <w:sz w:val="28"/>
                <w:szCs w:val="28"/>
                <w:highlight w:val="none"/>
              </w:rPr>
              <w:t>名称</w:t>
            </w:r>
          </w:p>
        </w:tc>
        <w:tc>
          <w:tcPr>
            <w:tcW w:w="3981" w:type="pct"/>
            <w:vAlign w:val="center"/>
          </w:tcPr>
          <w:p w14:paraId="4472D0B1">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服务内容</w:t>
            </w:r>
          </w:p>
        </w:tc>
      </w:tr>
      <w:tr w14:paraId="0D602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18" w:type="pct"/>
            <w:shd w:val="clear" w:color="auto" w:fill="auto"/>
            <w:vAlign w:val="center"/>
          </w:tcPr>
          <w:p w14:paraId="34447689">
            <w:pPr>
              <w:jc w:val="left"/>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双荧光素酶报告基因实验及chip-qpcr实验（含载体构建）</w:t>
            </w:r>
          </w:p>
        </w:tc>
        <w:tc>
          <w:tcPr>
            <w:tcW w:w="3981" w:type="pct"/>
            <w:shd w:val="clear" w:color="auto" w:fill="auto"/>
            <w:vAlign w:val="center"/>
          </w:tcPr>
          <w:p w14:paraId="65D20CC8">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ChIP-qPCR 结合检测：在采购人指定的对照与实验细胞模型中进行ChIP-qPCR实验。使用特异性JUNB抗体及对照IgG进行染色质免疫共沉淀。针对LAMC2启动子区域进行qPCR检测与分析。</w:t>
            </w:r>
          </w:p>
          <w:p w14:paraId="16DA108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交付成果：染色质片段化质检报告（例如，琼脂糖凝胶电泳图）、完整的ChIP-qPCR数据结果表（包含各样本的富集倍数与统计学分析结果）、JUNB在LAMC2启动子区域的富集情况图。要求交付物完整，实验流程有详细记录，数据分析方法正确。</w:t>
            </w:r>
          </w:p>
          <w:p w14:paraId="248F8C0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2.双荧光素酶报告基因检测：构建并验证两种荧光素酶报告质粒：pGL3-LAMC2-WT（野生型）和 pGL3-LAMC2-MUT（JUNB结合位点突变型）（必要时共突变）。在采购人指定的细胞中，共转染报告质粒，并进行双荧光素酶活性检测。实验组别至少包括：WT + 对照组细胞、WT +实验组细胞、MUT + 对照组细胞、MUT + 实验组细胞。</w:t>
            </w:r>
          </w:p>
          <w:p w14:paraId="13D9740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交付成果：两种构建成功的报告质粒实物及测序报告、荧光素酶检测的原始数据（Firefly与Renilla荧光值）及归一化后的相对活性结果表、用于展示最终结果的、符合发表规范的图表。要求交付的质粒经测序验证序列正确，实验操作规范，数据完整。</w:t>
            </w:r>
          </w:p>
        </w:tc>
      </w:tr>
    </w:tbl>
    <w:p w14:paraId="58CC3E6E">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商务需求：（需全部满足）</w:t>
      </w:r>
    </w:p>
    <w:p w14:paraId="6C003BDC">
      <w:pPr>
        <w:pStyle w:val="27"/>
        <w:keepNext w:val="0"/>
        <w:keepLines w:val="0"/>
        <w:pageBreakBefore w:val="0"/>
        <w:widowControl/>
        <w:numPr>
          <w:ilvl w:val="0"/>
          <w:numId w:val="0"/>
        </w:numPr>
        <w:kinsoku/>
        <w:wordWrap/>
        <w:overflowPunct/>
        <w:topLinePunct w:val="0"/>
        <w:autoSpaceDE/>
        <w:autoSpaceDN/>
        <w:bidi w:val="0"/>
        <w:adjustRightInd/>
        <w:snapToGrid/>
        <w:ind w:firstLine="643" w:firstLineChars="200"/>
        <w:textAlignment w:val="baseline"/>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eastAsia="zh-CN"/>
        </w:rPr>
        <w:t>（一）</w:t>
      </w:r>
      <w:r>
        <w:rPr>
          <w:rFonts w:hint="eastAsia" w:ascii="方正仿宋_GBK" w:hAnsi="方正仿宋_GBK" w:eastAsia="方正仿宋_GBK" w:cs="方正仿宋_GBK"/>
          <w:b/>
          <w:bCs/>
          <w:color w:val="auto"/>
          <w:kern w:val="0"/>
          <w:sz w:val="32"/>
          <w:szCs w:val="32"/>
          <w:highlight w:val="none"/>
          <w:lang w:val="en-US" w:eastAsia="zh-CN"/>
        </w:rPr>
        <w:t>供应商资格条件</w:t>
      </w:r>
    </w:p>
    <w:p w14:paraId="59EBBDD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16DC44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.具有独立承担民事责任的能力</w:t>
      </w:r>
      <w:r>
        <w:rPr>
          <w:rFonts w:hint="eastAsia" w:ascii="方正仿宋_GBK" w:hAnsi="方正仿宋_GBK" w:eastAsia="方正仿宋_GBK" w:cs="方正仿宋_GBK"/>
          <w:color w:val="auto"/>
          <w:sz w:val="32"/>
          <w:szCs w:val="32"/>
          <w:highlight w:val="none"/>
          <w:lang w:eastAsia="zh-CN"/>
        </w:rPr>
        <w:t>；如公司营业执照（须圈出符合资质要求的经营范围和有效期）；</w:t>
      </w:r>
    </w:p>
    <w:p w14:paraId="43DDD13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具有良好的商业信誉和健全的财务会计制度（提供承诺函）；</w:t>
      </w:r>
    </w:p>
    <w:p w14:paraId="0CF485E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3.具有履行合同所必需的设备和专业技术能力（提供承诺函）；</w:t>
      </w:r>
    </w:p>
    <w:p w14:paraId="0896000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4.有依法缴纳税收和社会保障资金的良好记录（提供承诺函）；</w:t>
      </w:r>
    </w:p>
    <w:p w14:paraId="35DA071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5.参加政府采购活动前三年内，在经营活动中没有重大违法记录（提供承诺函）；</w:t>
      </w:r>
    </w:p>
    <w:p w14:paraId="4A06466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43F13B6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特定资格条件</w:t>
      </w:r>
      <w:r>
        <w:rPr>
          <w:rFonts w:hint="eastAsia" w:ascii="方正仿宋_GBK" w:hAnsi="方正仿宋_GBK" w:eastAsia="方正仿宋_GBK" w:cs="方正仿宋_GBK"/>
          <w:color w:val="auto"/>
          <w:sz w:val="32"/>
          <w:szCs w:val="32"/>
          <w:highlight w:val="none"/>
          <w:lang w:eastAsia="zh-CN"/>
        </w:rPr>
        <w:t>：</w:t>
      </w:r>
    </w:p>
    <w:p w14:paraId="341A413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1.供应商应提供项目涉及的所有医疗器械的备案证或注册证；</w:t>
      </w:r>
    </w:p>
    <w:p w14:paraId="34F53E0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2.供应商应具备符合《中华人民共和国生物安全法》要求的相关资质。</w:t>
      </w:r>
    </w:p>
    <w:p w14:paraId="425500A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3.其他法律法规有关规范。</w:t>
      </w:r>
    </w:p>
    <w:p w14:paraId="6C6BF728">
      <w:pPr>
        <w:keepNext w:val="0"/>
        <w:keepLines w:val="0"/>
        <w:pageBreakBefore w:val="0"/>
        <w:widowControl w:val="0"/>
        <w:kinsoku/>
        <w:wordWrap/>
        <w:overflowPunct/>
        <w:topLinePunct w:val="0"/>
        <w:autoSpaceDE/>
        <w:autoSpaceDN/>
        <w:bidi w:val="0"/>
        <w:adjustRightInd/>
        <w:spacing w:line="6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（二）报价要求</w:t>
      </w:r>
    </w:p>
    <w:p w14:paraId="2AE848A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本项目对各实验单价及项目总价均进行限价</w:t>
      </w:r>
      <w:r>
        <w:rPr>
          <w:rFonts w:hint="eastAsia" w:ascii="方正仿宋_GBK" w:hAnsi="方正仿宋_GBK" w:eastAsia="方正仿宋_GBK" w:cs="方正仿宋_GBK"/>
          <w:b w:val="0"/>
          <w:bCs w:val="0"/>
          <w:color w:val="auto"/>
          <w:kern w:val="0"/>
          <w:sz w:val="32"/>
          <w:szCs w:val="32"/>
          <w:highlight w:val="none"/>
          <w:lang w:val="en-US" w:eastAsia="zh-CN"/>
        </w:rPr>
        <w:t>。报价要求：包括但不限于项目服务费、样本运输保存销毁、配套设备辅材费、资料装订及邮寄费、税费、保险费、保密费、验收检测费等完成本项目所需的一切费用。因成交供应商自身原因造成漏报、少报皆由其自行承担责任，采购人不再补偿。供应商报送价格不得超过采购人限价，否则视为无效报价。服务期间发生的安全责任事故由供应商自行承担。</w:t>
      </w:r>
    </w:p>
    <w:p w14:paraId="16E1FAE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（三）合同签订及服务期限</w:t>
      </w:r>
    </w:p>
    <w:p w14:paraId="4A4CEAE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308FBFA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本项目要求供应商</w:t>
      </w:r>
      <w:r>
        <w:rPr>
          <w:rFonts w:hint="eastAsia" w:ascii="方正仿宋_GBK" w:hAnsi="方正仿宋_GBK" w:eastAsia="方正仿宋_GBK" w:cs="方正仿宋_GBK"/>
          <w:b w:val="0"/>
          <w:bCs w:val="0"/>
          <w:color w:val="auto"/>
          <w:sz w:val="32"/>
          <w:szCs w:val="32"/>
          <w:highlight w:val="none"/>
        </w:rPr>
        <w:t>自</w:t>
      </w:r>
      <w:r>
        <w:rPr>
          <w:rFonts w:hint="eastAsia" w:ascii="方正仿宋_GBK" w:hAnsi="方正仿宋_GBK" w:eastAsia="方正仿宋_GBK" w:cs="方正仿宋_GBK"/>
          <w:b w:val="0"/>
          <w:bCs w:val="0"/>
          <w:color w:val="auto"/>
          <w:kern w:val="0"/>
          <w:sz w:val="32"/>
          <w:szCs w:val="32"/>
          <w:highlight w:val="none"/>
          <w:lang w:val="en-US" w:eastAsia="zh-CN"/>
        </w:rPr>
        <w:t>中选后，接到采购人取样通知后1周内取走样本（细胞沉淀），2月内交付项目所有相关数据成果（供应商运输、储存、销毁样本应符合《中华人民共和国生物安全法》相关要求）。</w:t>
      </w:r>
    </w:p>
    <w:p w14:paraId="2AE5A1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（四）付款方式</w:t>
      </w:r>
    </w:p>
    <w:p w14:paraId="2239A2A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 w:val="0"/>
          <w:bCs w:val="0"/>
          <w:color w:val="auto"/>
          <w:kern w:val="0"/>
          <w:sz w:val="32"/>
          <w:szCs w:val="32"/>
          <w:highlight w:val="none"/>
          <w:lang w:val="en-US" w:eastAsia="zh-CN"/>
        </w:rPr>
        <w:t>验收合格后，供应商提供验收记录、发票等资料，采购人根据服务效果考核标准据实结算。</w:t>
      </w:r>
    </w:p>
    <w:p w14:paraId="15EB734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（五）验收方式</w:t>
      </w:r>
    </w:p>
    <w:p w14:paraId="0711BD8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按照采购招投标文件及服务效果考核标准逐项验收，</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验收产生争议或验收后第三方对数据产生合理质疑</w:t>
      </w:r>
      <w:r>
        <w:rPr>
          <w:rFonts w:hint="eastAsia" w:ascii="方正仿宋_GBK" w:hAnsi="方正仿宋_GBK" w:eastAsia="方正仿宋_GBK" w:cs="方正仿宋_GBK"/>
          <w:b w:val="0"/>
          <w:bCs w:val="0"/>
          <w:color w:val="auto"/>
          <w:kern w:val="0"/>
          <w:sz w:val="32"/>
          <w:szCs w:val="32"/>
          <w:highlight w:val="none"/>
          <w:lang w:val="en-US" w:eastAsia="zh-CN"/>
        </w:rPr>
        <w:t>由采购人邀请第三方机构检测，费用由供应商承担。</w:t>
      </w:r>
    </w:p>
    <w:p w14:paraId="4B24AFDC">
      <w:pPr>
        <w:keepNext w:val="0"/>
        <w:keepLines w:val="0"/>
        <w:pageBreakBefore w:val="0"/>
        <w:widowControl w:val="0"/>
        <w:numPr>
          <w:ilvl w:val="0"/>
          <w:numId w:val="6"/>
        </w:numPr>
        <w:kinsoku/>
        <w:wordWrap/>
        <w:overflowPunct/>
        <w:topLinePunct w:val="0"/>
        <w:autoSpaceDE/>
        <w:autoSpaceDN/>
        <w:bidi w:val="0"/>
        <w:adjustRightInd/>
        <w:snapToGrid w:val="0"/>
        <w:spacing w:line="500" w:lineRule="exact"/>
        <w:ind w:leftChars="0"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服务效果考核标准</w:t>
      </w:r>
    </w:p>
    <w:p w14:paraId="102A31E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1. 基因合成及缺失载体：构建不成功不支付载体构建费用，构建成功则全额支付载体构建费用。</w:t>
      </w:r>
    </w:p>
    <w:p w14:paraId="05FA10E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2. chip-qpcr实验：若有qpcr阳性则说明实验成功，全额支付chip-qpcr实验费用；若没有阳性且转染不成功，不支付chip-qpcr实验费用；若没有阳性但转染成功，支付60%chip-qpcr实验费用。</w:t>
      </w:r>
    </w:p>
    <w:p w14:paraId="6666EE3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3. 双荧光素酶报告实验：若检测出互作则说明实验成功正常发光，全额支付双荧光素酶报告实验费用，若转染不成功则仅支付双荧光素酶报告实验30%费用。</w:t>
      </w:r>
    </w:p>
    <w:p w14:paraId="3104B13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（七）知识产权</w:t>
      </w:r>
    </w:p>
    <w:p w14:paraId="6A57361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采购人在中华人民共和国境内使用成交供应商提供的产品或服务内容时免受第三方提出的侵犯其专利权或其它知识产权的起诉。如果第三方提出侵权指控，成交供应商应承担由此而引起的一切法律责任和费用。本项目完成后的数据归采购人所有，未经采购人许可不得泄漏给第三方。</w:t>
      </w:r>
    </w:p>
    <w:p w14:paraId="4025A65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（八）配套服务</w:t>
      </w:r>
    </w:p>
    <w:p w14:paraId="7C840B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（1）电话咨询</w:t>
      </w:r>
    </w:p>
    <w:p w14:paraId="62FF38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成交供应商应当为采购人提供技术援助电话，在30分钟内响应解答采购人在使用中遇到的问题，及时为采购人提出解决问题的建议。</w:t>
      </w:r>
    </w:p>
    <w:p w14:paraId="3F5CE7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（2）保密要求</w:t>
      </w:r>
    </w:p>
    <w:p w14:paraId="20D387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 xml:space="preserve"> 未经采购人允许，不得将服务内容提供给第三方。</w:t>
      </w:r>
    </w:p>
    <w:p w14:paraId="4776B6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（3）数据溯源</w:t>
      </w:r>
    </w:p>
    <w:p w14:paraId="20C02A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 xml:space="preserve"> 任何时候，采购人或第三方对数据真实性提出质疑时，供应商应提供客观检测措施对数据结果进行溯源。</w:t>
      </w:r>
    </w:p>
    <w:p w14:paraId="3019787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（九）违约责任</w:t>
      </w:r>
    </w:p>
    <w:p w14:paraId="75709EE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供应商未按采购人要求时限交付服务内容，每延迟1日，供应商应向采购人支付100元违约金，超过20日未能交付，采购人有权单方面解除合同，并要求供应商承担合同总金额30%的违约金；项目验收不合格或使用中发现服务质量缺陷，采购人有权要求供应商整改，整改期限为10日，整改期限届满仍未完成的供应商每日支付合同总金额千分之三的违约金，超过20日未能完成整改，</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采购人有权解除合同，并要求供应商承担合同总金额30%的违约金，已经付款的供应商应全款退还采购人已经支付的款项</w:t>
      </w:r>
      <w:r>
        <w:rPr>
          <w:rFonts w:hint="eastAsia" w:ascii="方正仿宋_GBK" w:hAnsi="方正仿宋_GBK" w:eastAsia="方正仿宋_GBK" w:cs="方正仿宋_GBK"/>
          <w:color w:val="auto"/>
          <w:sz w:val="32"/>
          <w:szCs w:val="32"/>
          <w:highlight w:val="none"/>
          <w:lang w:val="en-US" w:eastAsia="zh-CN"/>
        </w:rPr>
        <w:t>；供应商服务引起的纠纷事故，每次承担1000元违约金，同时承担赔偿责任。未按配套服务要求提供服务的，供应商将承担200元/次的违约金。</w:t>
      </w:r>
    </w:p>
    <w:p w14:paraId="3810BCD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或</w:t>
      </w:r>
      <w:r>
        <w:rPr>
          <w:rFonts w:hint="eastAsia" w:ascii="方正仿宋_GBK" w:hAnsi="方正仿宋_GBK" w:eastAsia="方正仿宋_GBK" w:cs="方正仿宋_GBK"/>
          <w:b w:val="0"/>
          <w:bCs w:val="0"/>
          <w:color w:val="auto"/>
          <w:kern w:val="0"/>
          <w:sz w:val="32"/>
          <w:szCs w:val="32"/>
          <w:highlight w:val="none"/>
          <w:lang w:val="en-US" w:eastAsia="zh-CN"/>
        </w:rPr>
        <w:t>合同周期内供应商出现2次及以上违约行为的</w:t>
      </w:r>
      <w:r>
        <w:rPr>
          <w:rFonts w:hint="eastAsia" w:ascii="方正仿宋_GBK" w:hAnsi="方正仿宋_GBK" w:eastAsia="方正仿宋_GBK" w:cs="方正仿宋_GBK"/>
          <w:color w:val="auto"/>
          <w:kern w:val="0"/>
          <w:sz w:val="32"/>
          <w:szCs w:val="32"/>
          <w:highlight w:val="none"/>
          <w:lang w:val="en-US" w:eastAsia="zh-CN"/>
        </w:rPr>
        <w:t>;⑦</w:t>
      </w:r>
      <w:r>
        <w:rPr>
          <w:rFonts w:hint="eastAsia" w:ascii="方正仿宋_GBK" w:hAnsi="方正仿宋_GBK" w:eastAsia="方正仿宋_GBK" w:cs="方正仿宋_GBK"/>
          <w:color w:val="auto"/>
          <w:sz w:val="32"/>
          <w:szCs w:val="32"/>
          <w:highlight w:val="none"/>
          <w:lang w:val="en-US" w:eastAsia="zh-CN"/>
        </w:rPr>
        <w:t>供应商及其服务发生泄漏采购人数据及患者隐私的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存在质量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47DA5D9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因供应商及其提供的服务原因引发纠纷、造成</w:t>
      </w:r>
      <w:r>
        <w:rPr>
          <w:rFonts w:hint="eastAsia" w:ascii="方正仿宋_GBK" w:hAnsi="方正仿宋_GBK" w:eastAsia="方正仿宋_GBK" w:cs="方正仿宋_GBK"/>
          <w:color w:val="auto"/>
          <w:sz w:val="32"/>
          <w:szCs w:val="32"/>
          <w:highlight w:val="none"/>
          <w:lang w:val="en-US" w:eastAsia="zh-CN"/>
        </w:rPr>
        <w:t xml:space="preserve">采购人损失、受到处罚的（如供应商拒绝履约、在提供服务过程中损害采购人利益、供应商违纪违法行为、供应商检测内容虚假、数据分析错误、泄露检测数据或患者隐私等情况），供应商应赔偿对采购人造成的直接和间接损失全额损失及承担相应法律责任。合同履行期间发生争议，协商无果由重庆市璧山区人民法院裁决。 </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（十）合同终止情形</w:t>
      </w:r>
    </w:p>
    <w:p w14:paraId="2EDACF8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14:paraId="3B6FEF0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（十一）中选标准</w:t>
      </w:r>
    </w:p>
    <w:p w14:paraId="33FF5D5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在满足本项目技术和商务要求的前提下，采用最低评标价法评选。如超出投标报价、未在规定的时间内上交资料及资料不齐全的为无效报价。</w:t>
      </w:r>
    </w:p>
    <w:p w14:paraId="4E77F22F">
      <w:pPr>
        <w:keepNext w:val="0"/>
        <w:keepLines w:val="0"/>
        <w:pageBreakBefore w:val="0"/>
        <w:widowControl w:val="0"/>
        <w:kinsoku/>
        <w:wordWrap/>
        <w:overflowPunct/>
        <w:topLinePunct w:val="0"/>
        <w:autoSpaceDE/>
        <w:autoSpaceDN/>
        <w:bidi w:val="0"/>
        <w:adjustRightInd/>
        <w:snapToGrid w:val="0"/>
        <w:spacing w:line="500" w:lineRule="exact"/>
        <w:ind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（十二）其他要求</w:t>
      </w:r>
    </w:p>
    <w:p w14:paraId="2DEABB2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费将由成交供应商承担；（4）成交供应商未在规定时间内签订合同、拒绝签订履行采购合同或质保期响应不及时等影响采购人正常工作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75304A0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目录（有页码，方便采购人查询对应资料所在位置，否则为无效响应）</w:t>
      </w:r>
    </w:p>
    <w:p w14:paraId="23CA058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5.报价表及分项明细表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8.本项目其他采购人的业绩资料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10.投标服务相关资料</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51AAF05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12.项目服务方案（应具体到样本接收运输管理、检测进度计划、项目阶段性沟通、人员设备安排、保密措施等）</w:t>
      </w:r>
    </w:p>
    <w:p w14:paraId="3D41F62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13</w:t>
      </w:r>
      <w:r>
        <w:rPr>
          <w:rFonts w:hint="eastAsia" w:ascii="仿宋_GB2312" w:hAnsi="宋体" w:eastAsia="仿宋_GB2312" w:cs="宋体"/>
          <w:kern w:val="2"/>
          <w:sz w:val="32"/>
          <w:szCs w:val="32"/>
          <w:highlight w:val="none"/>
          <w:lang w:val="en-US" w:eastAsia="zh-CN" w:bidi="ar-SA"/>
        </w:rPr>
        <w:t>.投标廉政承诺书</w:t>
      </w:r>
    </w:p>
    <w:p w14:paraId="1C913CAD">
      <w:pPr>
        <w:rPr>
          <w:rFonts w:hint="eastAsia"/>
          <w:highlight w:val="none"/>
          <w:lang w:val="en-US" w:eastAsia="zh-CN"/>
        </w:rPr>
      </w:pPr>
    </w:p>
    <w:p w14:paraId="251F0151">
      <w:pPr>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2D15061B">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791B6925">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3CAC701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6726A6C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0D0286F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1.供应商应提供项目涉及的所有医疗器械的备案证或注册证；</w:t>
      </w:r>
    </w:p>
    <w:p w14:paraId="59EA7DB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2.供应商应具备符合《中华人民共和国生物安全法》要求的相关资质。</w:t>
      </w:r>
    </w:p>
    <w:p w14:paraId="46A0261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3.其他法律法规有关规范。</w:t>
      </w:r>
    </w:p>
    <w:p w14:paraId="4FC48D5C">
      <w:pPr>
        <w:ind w:firstLine="843" w:firstLineChars="300"/>
        <w:rPr>
          <w:rFonts w:hint="eastAsia" w:ascii="仿宋" w:hAnsi="仿宋" w:eastAsia="仿宋" w:cs="仿宋"/>
          <w:b/>
          <w:bCs/>
          <w:color w:val="auto"/>
          <w:sz w:val="28"/>
          <w:szCs w:val="21"/>
          <w:highlight w:val="none"/>
          <w:lang w:val="en-US" w:eastAsia="zh-CN"/>
        </w:rPr>
      </w:pPr>
    </w:p>
    <w:p w14:paraId="113BF43F">
      <w:pPr>
        <w:ind w:firstLine="843" w:firstLineChars="300"/>
        <w:rPr>
          <w:rFonts w:hint="eastAsia" w:ascii="仿宋" w:hAnsi="仿宋" w:eastAsia="仿宋" w:cs="仿宋"/>
          <w:b/>
          <w:bCs/>
          <w:color w:val="auto"/>
          <w:sz w:val="28"/>
          <w:szCs w:val="21"/>
          <w:highlight w:val="none"/>
          <w:lang w:val="en-US" w:eastAsia="zh-CN"/>
        </w:rPr>
      </w:pPr>
    </w:p>
    <w:p w14:paraId="2321D981">
      <w:pPr>
        <w:ind w:firstLine="843" w:firstLineChars="300"/>
        <w:rPr>
          <w:rFonts w:hint="eastAsia" w:ascii="仿宋" w:hAnsi="仿宋" w:eastAsia="仿宋" w:cs="仿宋"/>
          <w:b/>
          <w:bCs/>
          <w:color w:val="auto"/>
          <w:sz w:val="28"/>
          <w:szCs w:val="21"/>
          <w:highlight w:val="none"/>
          <w:lang w:val="en-US" w:eastAsia="zh-CN"/>
        </w:rPr>
      </w:pPr>
    </w:p>
    <w:p w14:paraId="243191DA">
      <w:pPr>
        <w:ind w:firstLine="843" w:firstLineChars="300"/>
        <w:rPr>
          <w:rFonts w:hint="eastAsia" w:ascii="仿宋" w:hAnsi="仿宋" w:eastAsia="仿宋" w:cs="仿宋"/>
          <w:b/>
          <w:bCs/>
          <w:color w:val="auto"/>
          <w:sz w:val="28"/>
          <w:szCs w:val="21"/>
          <w:highlight w:val="none"/>
          <w:lang w:val="en-US" w:eastAsia="zh-CN"/>
        </w:rPr>
      </w:pPr>
    </w:p>
    <w:p w14:paraId="4AF96057">
      <w:pPr>
        <w:ind w:firstLine="843" w:firstLineChars="300"/>
        <w:rPr>
          <w:rFonts w:hint="eastAsia" w:ascii="仿宋" w:hAnsi="仿宋" w:eastAsia="仿宋" w:cs="仿宋"/>
          <w:b/>
          <w:bCs/>
          <w:color w:val="auto"/>
          <w:sz w:val="28"/>
          <w:szCs w:val="21"/>
          <w:highlight w:val="none"/>
          <w:lang w:val="en-US" w:eastAsia="zh-CN"/>
        </w:rPr>
      </w:pPr>
    </w:p>
    <w:p w14:paraId="49F4F2A9">
      <w:pPr>
        <w:jc w:val="left"/>
        <w:rPr>
          <w:rFonts w:hint="eastAsia" w:ascii="微软雅黑" w:hAnsi="微软雅黑" w:eastAsia="微软雅黑" w:cs="方正小标宋_GBK"/>
          <w:b/>
          <w:bCs/>
          <w:sz w:val="32"/>
          <w:szCs w:val="32"/>
          <w:highlight w:val="none"/>
        </w:rPr>
      </w:pPr>
    </w:p>
    <w:p w14:paraId="2E31187F">
      <w:pPr>
        <w:jc w:val="left"/>
        <w:rPr>
          <w:rFonts w:hint="eastAsia" w:ascii="微软雅黑" w:hAnsi="微软雅黑" w:eastAsia="微软雅黑" w:cs="方正小标宋_GBK"/>
          <w:b/>
          <w:bCs/>
          <w:sz w:val="32"/>
          <w:szCs w:val="32"/>
          <w:highlight w:val="none"/>
        </w:rPr>
      </w:pPr>
    </w:p>
    <w:p w14:paraId="76B22110">
      <w:pPr>
        <w:jc w:val="left"/>
        <w:rPr>
          <w:rFonts w:hint="eastAsia" w:ascii="微软雅黑" w:hAnsi="微软雅黑" w:eastAsia="微软雅黑" w:cs="方正小标宋_GBK"/>
          <w:b/>
          <w:bCs/>
          <w:sz w:val="32"/>
          <w:szCs w:val="32"/>
          <w:highlight w:val="none"/>
        </w:rPr>
      </w:pPr>
    </w:p>
    <w:p w14:paraId="3E07AD1C">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213119B7">
      <w:pPr>
        <w:jc w:val="center"/>
        <w:rPr>
          <w:rFonts w:ascii="方正小标宋_GBK" w:hAnsi="方正小标宋_GBK" w:eastAsia="方正小标宋_GBK" w:cs="方正小标宋_GBK"/>
          <w:sz w:val="40"/>
          <w:szCs w:val="40"/>
          <w:highlight w:val="none"/>
        </w:rPr>
      </w:pPr>
    </w:p>
    <w:p w14:paraId="601E886E">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6F047435">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6FCA860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55C020A6">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EBFF1D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751BB740">
      <w:pPr>
        <w:ind w:firstLine="600" w:firstLineChars="200"/>
        <w:rPr>
          <w:rFonts w:ascii="微软雅黑" w:hAnsi="微软雅黑" w:eastAsia="微软雅黑" w:cs="微软雅黑"/>
          <w:sz w:val="30"/>
          <w:szCs w:val="30"/>
          <w:highlight w:val="none"/>
        </w:rPr>
      </w:pPr>
    </w:p>
    <w:p w14:paraId="0AD837F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69842051">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146F797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0703544">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B259131">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451744BB">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1EA5FAE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050C3B1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41050B5F">
      <w:pPr>
        <w:spacing w:line="594" w:lineRule="exact"/>
        <w:ind w:firstLine="600" w:firstLineChars="200"/>
        <w:rPr>
          <w:rFonts w:hint="eastAsia" w:ascii="微软雅黑" w:hAnsi="微软雅黑" w:eastAsia="微软雅黑"/>
          <w:sz w:val="30"/>
          <w:szCs w:val="30"/>
          <w:highlight w:val="none"/>
        </w:rPr>
      </w:pPr>
    </w:p>
    <w:p w14:paraId="01380D8A">
      <w:pPr>
        <w:spacing w:line="594" w:lineRule="exact"/>
        <w:ind w:firstLine="600" w:firstLineChars="200"/>
        <w:rPr>
          <w:rFonts w:hint="eastAsia" w:ascii="微软雅黑" w:hAnsi="微软雅黑" w:eastAsia="微软雅黑"/>
          <w:sz w:val="30"/>
          <w:szCs w:val="30"/>
          <w:highlight w:val="none"/>
        </w:rPr>
      </w:pPr>
    </w:p>
    <w:p w14:paraId="32744D7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7EA1D79">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39739773">
      <w:pPr>
        <w:spacing w:line="594" w:lineRule="exact"/>
        <w:ind w:firstLine="640" w:firstLineChars="200"/>
        <w:rPr>
          <w:rFonts w:hint="eastAsia" w:ascii="方正仿宋_GBK" w:eastAsia="方正仿宋_GBK"/>
          <w:sz w:val="32"/>
          <w:szCs w:val="32"/>
          <w:highlight w:val="none"/>
        </w:rPr>
      </w:pPr>
    </w:p>
    <w:p w14:paraId="3B7E87CA">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1CE8A15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56196472"/>
      <w:bookmarkStart w:id="1" w:name="_Toc173677399"/>
      <w:bookmarkStart w:id="2" w:name="_Toc175017344"/>
      <w:bookmarkStart w:id="3" w:name="_Toc237057793"/>
      <w:bookmarkStart w:id="4" w:name="_Toc128014297"/>
      <w:bookmarkStart w:id="5" w:name="_Toc128229304"/>
      <w:bookmarkStart w:id="6" w:name="_Toc128229747"/>
    </w:p>
    <w:p w14:paraId="6EB84F7D">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7A48D29C">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7D227DB6">
      <w:pPr>
        <w:rPr>
          <w:rFonts w:hint="eastAsia" w:ascii="仿宋_GB2312" w:hAnsi="Arial" w:eastAsia="仿宋_GB2312" w:cstheme="minorBidi"/>
          <w:b/>
          <w:color w:val="auto"/>
          <w:kern w:val="2"/>
          <w:sz w:val="28"/>
          <w:szCs w:val="28"/>
          <w:highlight w:val="none"/>
          <w:lang w:val="en-US" w:eastAsia="zh-CN" w:bidi="ar-SA"/>
        </w:rPr>
      </w:pPr>
    </w:p>
    <w:p w14:paraId="13835B1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191ED7A7">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00528B2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3C374A06">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783D7DD">
      <w:pPr>
        <w:pStyle w:val="9"/>
        <w:numPr>
          <w:ilvl w:val="0"/>
          <w:numId w:val="0"/>
        </w:numPr>
        <w:jc w:val="both"/>
        <w:rPr>
          <w:rFonts w:hint="default"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1．愿意按照询价采购文件中的一切要求，提供本项目的服务，报价为人民币大写：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元整（附分项明细表）。</w:t>
      </w:r>
    </w:p>
    <w:p w14:paraId="3785074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2．我方现提交的响应文件为：加盖鲜章纸质件。</w:t>
      </w:r>
    </w:p>
    <w:p w14:paraId="6A941D7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63B1181">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0AA5101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5B816A62">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5FC7697">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6F776DF6">
      <w:p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2356"/>
        <w:gridCol w:w="1065"/>
        <w:gridCol w:w="2249"/>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2356" w:type="dxa"/>
            <w:noWrap w:val="0"/>
            <w:vAlign w:val="center"/>
          </w:tcPr>
          <w:p w14:paraId="29DA5BF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065" w:type="dxa"/>
            <w:noWrap w:val="0"/>
            <w:vAlign w:val="center"/>
          </w:tcPr>
          <w:p w14:paraId="0D80379C">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2F4AF800">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6BC315E6">
            <w:pPr>
              <w:spacing w:line="300" w:lineRule="exact"/>
              <w:rPr>
                <w:rFonts w:ascii="微软雅黑" w:hAnsi="微软雅黑" w:eastAsia="微软雅黑" w:cs="微软雅黑"/>
                <w:sz w:val="24"/>
                <w:szCs w:val="24"/>
                <w:highlight w:val="none"/>
              </w:rPr>
            </w:pPr>
          </w:p>
        </w:tc>
        <w:tc>
          <w:tcPr>
            <w:tcW w:w="2356" w:type="dxa"/>
            <w:noWrap w:val="0"/>
            <w:vAlign w:val="top"/>
          </w:tcPr>
          <w:p w14:paraId="764B2900">
            <w:pPr>
              <w:spacing w:line="300" w:lineRule="exact"/>
              <w:rPr>
                <w:rFonts w:ascii="微软雅黑" w:hAnsi="微软雅黑" w:eastAsia="微软雅黑" w:cs="微软雅黑"/>
                <w:sz w:val="24"/>
                <w:szCs w:val="24"/>
                <w:highlight w:val="none"/>
              </w:rPr>
            </w:pPr>
          </w:p>
        </w:tc>
        <w:tc>
          <w:tcPr>
            <w:tcW w:w="1065" w:type="dxa"/>
            <w:noWrap w:val="0"/>
            <w:vAlign w:val="top"/>
          </w:tcPr>
          <w:p w14:paraId="1EF8BF9F">
            <w:pPr>
              <w:spacing w:line="300" w:lineRule="exact"/>
              <w:rPr>
                <w:rFonts w:ascii="微软雅黑" w:hAnsi="微软雅黑" w:eastAsia="微软雅黑" w:cs="微软雅黑"/>
                <w:sz w:val="24"/>
                <w:szCs w:val="24"/>
                <w:highlight w:val="none"/>
              </w:rPr>
            </w:pPr>
          </w:p>
        </w:tc>
        <w:tc>
          <w:tcPr>
            <w:tcW w:w="2249" w:type="dxa"/>
            <w:noWrap w:val="0"/>
            <w:vAlign w:val="top"/>
          </w:tcPr>
          <w:p w14:paraId="3F2A513E">
            <w:pPr>
              <w:spacing w:line="300" w:lineRule="exact"/>
              <w:rPr>
                <w:rFonts w:ascii="微软雅黑" w:hAnsi="微软雅黑" w:eastAsia="微软雅黑" w:cs="微软雅黑"/>
                <w:sz w:val="24"/>
                <w:szCs w:val="24"/>
                <w:highlight w:val="none"/>
              </w:rPr>
            </w:pPr>
          </w:p>
        </w:tc>
        <w:tc>
          <w:tcPr>
            <w:tcW w:w="1275" w:type="dxa"/>
            <w:noWrap w:val="0"/>
            <w:vAlign w:val="top"/>
          </w:tcPr>
          <w:p w14:paraId="5F705A3A">
            <w:pPr>
              <w:spacing w:line="300" w:lineRule="exact"/>
              <w:rPr>
                <w:rFonts w:ascii="微软雅黑" w:hAnsi="微软雅黑" w:eastAsia="微软雅黑" w:cs="微软雅黑"/>
                <w:sz w:val="24"/>
                <w:szCs w:val="24"/>
                <w:highlight w:val="none"/>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7E61EDAE">
            <w:pPr>
              <w:spacing w:line="300" w:lineRule="exact"/>
              <w:rPr>
                <w:rFonts w:ascii="微软雅黑" w:hAnsi="微软雅黑" w:eastAsia="微软雅黑" w:cs="微软雅黑"/>
                <w:sz w:val="24"/>
                <w:szCs w:val="24"/>
                <w:highlight w:val="none"/>
              </w:rPr>
            </w:pPr>
          </w:p>
        </w:tc>
        <w:tc>
          <w:tcPr>
            <w:tcW w:w="2356" w:type="dxa"/>
            <w:noWrap w:val="0"/>
            <w:vAlign w:val="top"/>
          </w:tcPr>
          <w:p w14:paraId="49AAE716">
            <w:pPr>
              <w:spacing w:line="300" w:lineRule="exact"/>
              <w:rPr>
                <w:rFonts w:ascii="微软雅黑" w:hAnsi="微软雅黑" w:eastAsia="微软雅黑" w:cs="微软雅黑"/>
                <w:sz w:val="24"/>
                <w:szCs w:val="24"/>
                <w:highlight w:val="none"/>
              </w:rPr>
            </w:pPr>
          </w:p>
        </w:tc>
        <w:tc>
          <w:tcPr>
            <w:tcW w:w="1065" w:type="dxa"/>
            <w:noWrap w:val="0"/>
            <w:vAlign w:val="top"/>
          </w:tcPr>
          <w:p w14:paraId="0C02AD95">
            <w:pPr>
              <w:spacing w:line="300" w:lineRule="exact"/>
              <w:rPr>
                <w:rFonts w:ascii="微软雅黑" w:hAnsi="微软雅黑" w:eastAsia="微软雅黑" w:cs="微软雅黑"/>
                <w:sz w:val="24"/>
                <w:szCs w:val="24"/>
                <w:highlight w:val="none"/>
              </w:rPr>
            </w:pPr>
          </w:p>
        </w:tc>
        <w:tc>
          <w:tcPr>
            <w:tcW w:w="2249" w:type="dxa"/>
            <w:noWrap w:val="0"/>
            <w:vAlign w:val="top"/>
          </w:tcPr>
          <w:p w14:paraId="37B6C834">
            <w:pPr>
              <w:spacing w:line="300" w:lineRule="exact"/>
              <w:rPr>
                <w:rFonts w:ascii="微软雅黑" w:hAnsi="微软雅黑" w:eastAsia="微软雅黑" w:cs="微软雅黑"/>
                <w:sz w:val="24"/>
                <w:szCs w:val="24"/>
                <w:highlight w:val="none"/>
              </w:rPr>
            </w:pPr>
          </w:p>
        </w:tc>
        <w:tc>
          <w:tcPr>
            <w:tcW w:w="1275" w:type="dxa"/>
            <w:noWrap w:val="0"/>
            <w:vAlign w:val="top"/>
          </w:tcPr>
          <w:p w14:paraId="498FFDA5">
            <w:pPr>
              <w:spacing w:line="300" w:lineRule="exact"/>
              <w:rPr>
                <w:rFonts w:ascii="微软雅黑" w:hAnsi="微软雅黑" w:eastAsia="微软雅黑" w:cs="微软雅黑"/>
                <w:sz w:val="24"/>
                <w:szCs w:val="24"/>
                <w:highlight w:val="none"/>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5405905E">
            <w:pPr>
              <w:spacing w:line="300" w:lineRule="exact"/>
              <w:rPr>
                <w:rFonts w:ascii="微软雅黑" w:hAnsi="微软雅黑" w:eastAsia="微软雅黑" w:cs="微软雅黑"/>
                <w:sz w:val="24"/>
                <w:szCs w:val="24"/>
                <w:highlight w:val="none"/>
              </w:rPr>
            </w:pPr>
          </w:p>
        </w:tc>
        <w:tc>
          <w:tcPr>
            <w:tcW w:w="2356" w:type="dxa"/>
            <w:noWrap w:val="0"/>
            <w:vAlign w:val="top"/>
          </w:tcPr>
          <w:p w14:paraId="1E8F4A1D">
            <w:pPr>
              <w:spacing w:line="300" w:lineRule="exact"/>
              <w:rPr>
                <w:rFonts w:ascii="微软雅黑" w:hAnsi="微软雅黑" w:eastAsia="微软雅黑" w:cs="微软雅黑"/>
                <w:sz w:val="24"/>
                <w:szCs w:val="24"/>
                <w:highlight w:val="none"/>
              </w:rPr>
            </w:pPr>
          </w:p>
        </w:tc>
        <w:tc>
          <w:tcPr>
            <w:tcW w:w="1065" w:type="dxa"/>
            <w:noWrap w:val="0"/>
            <w:vAlign w:val="top"/>
          </w:tcPr>
          <w:p w14:paraId="2F923AAC">
            <w:pPr>
              <w:spacing w:line="300" w:lineRule="exact"/>
              <w:rPr>
                <w:rFonts w:ascii="微软雅黑" w:hAnsi="微软雅黑" w:eastAsia="微软雅黑" w:cs="微软雅黑"/>
                <w:sz w:val="24"/>
                <w:szCs w:val="24"/>
                <w:highlight w:val="none"/>
              </w:rPr>
            </w:pPr>
          </w:p>
        </w:tc>
        <w:tc>
          <w:tcPr>
            <w:tcW w:w="2249" w:type="dxa"/>
            <w:noWrap w:val="0"/>
            <w:vAlign w:val="top"/>
          </w:tcPr>
          <w:p w14:paraId="15AC0646">
            <w:pPr>
              <w:spacing w:line="300" w:lineRule="exact"/>
              <w:rPr>
                <w:rFonts w:ascii="微软雅黑" w:hAnsi="微软雅黑" w:eastAsia="微软雅黑" w:cs="微软雅黑"/>
                <w:sz w:val="24"/>
                <w:szCs w:val="24"/>
                <w:highlight w:val="none"/>
              </w:rPr>
            </w:pPr>
          </w:p>
        </w:tc>
        <w:tc>
          <w:tcPr>
            <w:tcW w:w="1275" w:type="dxa"/>
            <w:noWrap w:val="0"/>
            <w:vAlign w:val="top"/>
          </w:tcPr>
          <w:p w14:paraId="33A3B4B4">
            <w:pPr>
              <w:spacing w:line="300" w:lineRule="exact"/>
              <w:rPr>
                <w:rFonts w:ascii="微软雅黑" w:hAnsi="微软雅黑" w:eastAsia="微软雅黑" w:cs="微软雅黑"/>
                <w:sz w:val="24"/>
                <w:szCs w:val="24"/>
                <w:highlight w:val="none"/>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072D291C">
            <w:pPr>
              <w:spacing w:line="300" w:lineRule="exact"/>
              <w:rPr>
                <w:rFonts w:ascii="微软雅黑" w:hAnsi="微软雅黑" w:eastAsia="微软雅黑" w:cs="微软雅黑"/>
                <w:sz w:val="24"/>
                <w:szCs w:val="24"/>
                <w:highlight w:val="none"/>
              </w:rPr>
            </w:pPr>
          </w:p>
        </w:tc>
        <w:tc>
          <w:tcPr>
            <w:tcW w:w="2356" w:type="dxa"/>
            <w:noWrap w:val="0"/>
            <w:vAlign w:val="top"/>
          </w:tcPr>
          <w:p w14:paraId="490BC7C9">
            <w:pPr>
              <w:spacing w:line="300" w:lineRule="exact"/>
              <w:rPr>
                <w:rFonts w:ascii="微软雅黑" w:hAnsi="微软雅黑" w:eastAsia="微软雅黑" w:cs="微软雅黑"/>
                <w:sz w:val="24"/>
                <w:szCs w:val="24"/>
                <w:highlight w:val="none"/>
              </w:rPr>
            </w:pPr>
          </w:p>
        </w:tc>
        <w:tc>
          <w:tcPr>
            <w:tcW w:w="1065" w:type="dxa"/>
            <w:noWrap w:val="0"/>
            <w:vAlign w:val="top"/>
          </w:tcPr>
          <w:p w14:paraId="30EAE67B">
            <w:pPr>
              <w:spacing w:line="300" w:lineRule="exact"/>
              <w:rPr>
                <w:rFonts w:ascii="微软雅黑" w:hAnsi="微软雅黑" w:eastAsia="微软雅黑" w:cs="微软雅黑"/>
                <w:sz w:val="24"/>
                <w:szCs w:val="24"/>
                <w:highlight w:val="none"/>
              </w:rPr>
            </w:pPr>
          </w:p>
        </w:tc>
        <w:tc>
          <w:tcPr>
            <w:tcW w:w="2249" w:type="dxa"/>
            <w:noWrap w:val="0"/>
            <w:vAlign w:val="top"/>
          </w:tcPr>
          <w:p w14:paraId="07FF33B2">
            <w:pPr>
              <w:spacing w:line="300" w:lineRule="exact"/>
              <w:rPr>
                <w:rFonts w:ascii="微软雅黑" w:hAnsi="微软雅黑" w:eastAsia="微软雅黑" w:cs="微软雅黑"/>
                <w:sz w:val="24"/>
                <w:szCs w:val="24"/>
                <w:highlight w:val="none"/>
              </w:rPr>
            </w:pPr>
          </w:p>
        </w:tc>
        <w:tc>
          <w:tcPr>
            <w:tcW w:w="1275" w:type="dxa"/>
            <w:noWrap w:val="0"/>
            <w:vAlign w:val="top"/>
          </w:tcPr>
          <w:p w14:paraId="46AF0D90">
            <w:pPr>
              <w:spacing w:line="300" w:lineRule="exact"/>
              <w:rPr>
                <w:rFonts w:ascii="微软雅黑" w:hAnsi="微软雅黑" w:eastAsia="微软雅黑" w:cs="微软雅黑"/>
                <w:sz w:val="24"/>
                <w:szCs w:val="24"/>
                <w:highlight w:val="none"/>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0F6D1D0A">
            <w:pPr>
              <w:spacing w:line="300" w:lineRule="exact"/>
              <w:rPr>
                <w:rFonts w:ascii="微软雅黑" w:hAnsi="微软雅黑" w:eastAsia="微软雅黑" w:cs="微软雅黑"/>
                <w:sz w:val="24"/>
                <w:szCs w:val="24"/>
                <w:highlight w:val="none"/>
              </w:rPr>
            </w:pPr>
          </w:p>
        </w:tc>
        <w:tc>
          <w:tcPr>
            <w:tcW w:w="2356" w:type="dxa"/>
            <w:noWrap w:val="0"/>
            <w:vAlign w:val="top"/>
          </w:tcPr>
          <w:p w14:paraId="31786AD8">
            <w:pPr>
              <w:spacing w:line="300" w:lineRule="exact"/>
              <w:rPr>
                <w:rFonts w:ascii="微软雅黑" w:hAnsi="微软雅黑" w:eastAsia="微软雅黑" w:cs="微软雅黑"/>
                <w:sz w:val="24"/>
                <w:szCs w:val="24"/>
                <w:highlight w:val="none"/>
              </w:rPr>
            </w:pPr>
          </w:p>
        </w:tc>
        <w:tc>
          <w:tcPr>
            <w:tcW w:w="1065" w:type="dxa"/>
            <w:noWrap w:val="0"/>
            <w:vAlign w:val="top"/>
          </w:tcPr>
          <w:p w14:paraId="5FF79B57">
            <w:pPr>
              <w:spacing w:line="300" w:lineRule="exact"/>
              <w:rPr>
                <w:rFonts w:ascii="微软雅黑" w:hAnsi="微软雅黑" w:eastAsia="微软雅黑" w:cs="微软雅黑"/>
                <w:sz w:val="24"/>
                <w:szCs w:val="24"/>
                <w:highlight w:val="none"/>
              </w:rPr>
            </w:pPr>
          </w:p>
        </w:tc>
        <w:tc>
          <w:tcPr>
            <w:tcW w:w="2249" w:type="dxa"/>
            <w:noWrap w:val="0"/>
            <w:vAlign w:val="top"/>
          </w:tcPr>
          <w:p w14:paraId="2931B899">
            <w:pPr>
              <w:spacing w:line="300" w:lineRule="exact"/>
              <w:rPr>
                <w:rFonts w:ascii="微软雅黑" w:hAnsi="微软雅黑" w:eastAsia="微软雅黑" w:cs="微软雅黑"/>
                <w:sz w:val="24"/>
                <w:szCs w:val="24"/>
                <w:highlight w:val="none"/>
              </w:rPr>
            </w:pPr>
          </w:p>
        </w:tc>
        <w:tc>
          <w:tcPr>
            <w:tcW w:w="1275" w:type="dxa"/>
            <w:noWrap w:val="0"/>
            <w:vAlign w:val="top"/>
          </w:tcPr>
          <w:p w14:paraId="3E5FCA7E">
            <w:pPr>
              <w:spacing w:line="300" w:lineRule="exact"/>
              <w:rPr>
                <w:rFonts w:ascii="微软雅黑" w:hAnsi="微软雅黑" w:eastAsia="微软雅黑" w:cs="微软雅黑"/>
                <w:sz w:val="24"/>
                <w:szCs w:val="24"/>
                <w:highlight w:val="none"/>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576858F">
            <w:pPr>
              <w:spacing w:line="300" w:lineRule="exact"/>
              <w:rPr>
                <w:rFonts w:ascii="微软雅黑" w:hAnsi="微软雅黑" w:eastAsia="微软雅黑" w:cs="微软雅黑"/>
                <w:sz w:val="24"/>
                <w:szCs w:val="24"/>
                <w:highlight w:val="none"/>
              </w:rPr>
            </w:pPr>
          </w:p>
        </w:tc>
        <w:tc>
          <w:tcPr>
            <w:tcW w:w="2356" w:type="dxa"/>
            <w:noWrap w:val="0"/>
            <w:vAlign w:val="top"/>
          </w:tcPr>
          <w:p w14:paraId="4FE065E3">
            <w:pPr>
              <w:spacing w:line="300" w:lineRule="exact"/>
              <w:rPr>
                <w:rFonts w:ascii="微软雅黑" w:hAnsi="微软雅黑" w:eastAsia="微软雅黑" w:cs="微软雅黑"/>
                <w:sz w:val="24"/>
                <w:szCs w:val="24"/>
                <w:highlight w:val="none"/>
              </w:rPr>
            </w:pPr>
          </w:p>
        </w:tc>
        <w:tc>
          <w:tcPr>
            <w:tcW w:w="1065" w:type="dxa"/>
            <w:noWrap w:val="0"/>
            <w:vAlign w:val="top"/>
          </w:tcPr>
          <w:p w14:paraId="168E28CD">
            <w:pPr>
              <w:spacing w:line="300" w:lineRule="exact"/>
              <w:rPr>
                <w:rFonts w:ascii="微软雅黑" w:hAnsi="微软雅黑" w:eastAsia="微软雅黑" w:cs="微软雅黑"/>
                <w:sz w:val="24"/>
                <w:szCs w:val="24"/>
                <w:highlight w:val="none"/>
              </w:rPr>
            </w:pPr>
          </w:p>
        </w:tc>
        <w:tc>
          <w:tcPr>
            <w:tcW w:w="2249" w:type="dxa"/>
            <w:noWrap w:val="0"/>
            <w:vAlign w:val="top"/>
          </w:tcPr>
          <w:p w14:paraId="1F3403C8">
            <w:pPr>
              <w:spacing w:line="300" w:lineRule="exact"/>
              <w:rPr>
                <w:rFonts w:ascii="微软雅黑" w:hAnsi="微软雅黑" w:eastAsia="微软雅黑" w:cs="微软雅黑"/>
                <w:sz w:val="24"/>
                <w:szCs w:val="24"/>
                <w:highlight w:val="none"/>
              </w:rPr>
            </w:pPr>
          </w:p>
        </w:tc>
        <w:tc>
          <w:tcPr>
            <w:tcW w:w="1275" w:type="dxa"/>
            <w:noWrap w:val="0"/>
            <w:vAlign w:val="top"/>
          </w:tcPr>
          <w:p w14:paraId="0472BFBC">
            <w:pPr>
              <w:spacing w:line="300" w:lineRule="exact"/>
              <w:rPr>
                <w:rFonts w:ascii="微软雅黑" w:hAnsi="微软雅黑" w:eastAsia="微软雅黑" w:cs="微软雅黑"/>
                <w:sz w:val="24"/>
                <w:szCs w:val="24"/>
                <w:highlight w:val="none"/>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6EC73C76">
            <w:pPr>
              <w:spacing w:line="300" w:lineRule="exact"/>
              <w:rPr>
                <w:rFonts w:hint="default" w:ascii="微软雅黑" w:hAnsi="微软雅黑" w:eastAsia="微软雅黑" w:cs="微软雅黑"/>
                <w:sz w:val="24"/>
                <w:szCs w:val="24"/>
                <w:highlight w:val="none"/>
                <w:lang w:val="en-US" w:eastAsia="zh-CN"/>
              </w:rPr>
            </w:pPr>
          </w:p>
        </w:tc>
        <w:tc>
          <w:tcPr>
            <w:tcW w:w="2356" w:type="dxa"/>
            <w:noWrap w:val="0"/>
            <w:vAlign w:val="top"/>
          </w:tcPr>
          <w:p w14:paraId="5F00180A">
            <w:pPr>
              <w:spacing w:line="300" w:lineRule="exact"/>
              <w:rPr>
                <w:rFonts w:ascii="微软雅黑" w:hAnsi="微软雅黑" w:eastAsia="微软雅黑" w:cs="微软雅黑"/>
                <w:sz w:val="24"/>
                <w:szCs w:val="24"/>
                <w:highlight w:val="none"/>
              </w:rPr>
            </w:pPr>
          </w:p>
        </w:tc>
        <w:tc>
          <w:tcPr>
            <w:tcW w:w="1065" w:type="dxa"/>
            <w:noWrap w:val="0"/>
            <w:vAlign w:val="top"/>
          </w:tcPr>
          <w:p w14:paraId="460A705A">
            <w:pPr>
              <w:spacing w:line="300" w:lineRule="exact"/>
              <w:rPr>
                <w:rFonts w:ascii="微软雅黑" w:hAnsi="微软雅黑" w:eastAsia="微软雅黑" w:cs="微软雅黑"/>
                <w:sz w:val="24"/>
                <w:szCs w:val="24"/>
                <w:highlight w:val="none"/>
              </w:rPr>
            </w:pPr>
          </w:p>
        </w:tc>
        <w:tc>
          <w:tcPr>
            <w:tcW w:w="2249" w:type="dxa"/>
            <w:noWrap w:val="0"/>
            <w:vAlign w:val="top"/>
          </w:tcPr>
          <w:p w14:paraId="0E4F5168">
            <w:pPr>
              <w:spacing w:line="300" w:lineRule="exact"/>
              <w:rPr>
                <w:rFonts w:ascii="微软雅黑" w:hAnsi="微软雅黑" w:eastAsia="微软雅黑" w:cs="微软雅黑"/>
                <w:sz w:val="24"/>
                <w:szCs w:val="24"/>
                <w:highlight w:val="none"/>
              </w:rPr>
            </w:pPr>
          </w:p>
        </w:tc>
        <w:tc>
          <w:tcPr>
            <w:tcW w:w="1275" w:type="dxa"/>
            <w:noWrap w:val="0"/>
            <w:vAlign w:val="top"/>
          </w:tcPr>
          <w:p w14:paraId="1F3EE939">
            <w:pPr>
              <w:spacing w:line="300" w:lineRule="exact"/>
              <w:rPr>
                <w:rFonts w:ascii="微软雅黑" w:hAnsi="微软雅黑" w:eastAsia="微软雅黑" w:cs="微软雅黑"/>
                <w:sz w:val="24"/>
                <w:szCs w:val="24"/>
                <w:highlight w:val="none"/>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0F5ABEB1">
            <w:pPr>
              <w:spacing w:line="300" w:lineRule="exact"/>
              <w:rPr>
                <w:rFonts w:ascii="微软雅黑" w:hAnsi="微软雅黑" w:eastAsia="微软雅黑" w:cs="微软雅黑"/>
                <w:sz w:val="24"/>
                <w:szCs w:val="24"/>
                <w:highlight w:val="none"/>
              </w:rPr>
            </w:pPr>
          </w:p>
        </w:tc>
        <w:tc>
          <w:tcPr>
            <w:tcW w:w="2356" w:type="dxa"/>
            <w:noWrap w:val="0"/>
            <w:vAlign w:val="top"/>
          </w:tcPr>
          <w:p w14:paraId="4B5AC615">
            <w:pPr>
              <w:spacing w:line="300" w:lineRule="exact"/>
              <w:rPr>
                <w:rFonts w:ascii="微软雅黑" w:hAnsi="微软雅黑" w:eastAsia="微软雅黑" w:cs="微软雅黑"/>
                <w:sz w:val="24"/>
                <w:szCs w:val="24"/>
                <w:highlight w:val="none"/>
              </w:rPr>
            </w:pPr>
          </w:p>
        </w:tc>
        <w:tc>
          <w:tcPr>
            <w:tcW w:w="1065" w:type="dxa"/>
            <w:noWrap w:val="0"/>
            <w:vAlign w:val="top"/>
          </w:tcPr>
          <w:p w14:paraId="5F2D2CCF">
            <w:pPr>
              <w:spacing w:line="300" w:lineRule="exact"/>
              <w:rPr>
                <w:rFonts w:ascii="微软雅黑" w:hAnsi="微软雅黑" w:eastAsia="微软雅黑" w:cs="微软雅黑"/>
                <w:sz w:val="24"/>
                <w:szCs w:val="24"/>
                <w:highlight w:val="none"/>
              </w:rPr>
            </w:pPr>
          </w:p>
        </w:tc>
        <w:tc>
          <w:tcPr>
            <w:tcW w:w="2249" w:type="dxa"/>
            <w:noWrap w:val="0"/>
            <w:vAlign w:val="top"/>
          </w:tcPr>
          <w:p w14:paraId="670C46B7">
            <w:pPr>
              <w:spacing w:line="300" w:lineRule="exact"/>
              <w:rPr>
                <w:rFonts w:ascii="微软雅黑" w:hAnsi="微软雅黑" w:eastAsia="微软雅黑" w:cs="微软雅黑"/>
                <w:sz w:val="24"/>
                <w:szCs w:val="24"/>
                <w:highlight w:val="none"/>
              </w:rPr>
            </w:pPr>
          </w:p>
        </w:tc>
        <w:tc>
          <w:tcPr>
            <w:tcW w:w="1275" w:type="dxa"/>
            <w:noWrap w:val="0"/>
            <w:vAlign w:val="top"/>
          </w:tcPr>
          <w:p w14:paraId="7914DD39">
            <w:pPr>
              <w:spacing w:line="300" w:lineRule="exact"/>
              <w:rPr>
                <w:rFonts w:ascii="微软雅黑" w:hAnsi="微软雅黑" w:eastAsia="微软雅黑" w:cs="微软雅黑"/>
                <w:sz w:val="24"/>
                <w:szCs w:val="24"/>
                <w:highlight w:val="none"/>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45FF6335">
            <w:pPr>
              <w:spacing w:line="300" w:lineRule="exact"/>
              <w:rPr>
                <w:rFonts w:ascii="微软雅黑" w:hAnsi="微软雅黑" w:eastAsia="微软雅黑" w:cs="微软雅黑"/>
                <w:sz w:val="24"/>
                <w:szCs w:val="24"/>
                <w:highlight w:val="none"/>
              </w:rPr>
            </w:pPr>
          </w:p>
        </w:tc>
        <w:tc>
          <w:tcPr>
            <w:tcW w:w="2356" w:type="dxa"/>
            <w:noWrap w:val="0"/>
            <w:vAlign w:val="top"/>
          </w:tcPr>
          <w:p w14:paraId="4CBB5A4D">
            <w:pPr>
              <w:spacing w:line="300" w:lineRule="exact"/>
              <w:rPr>
                <w:rFonts w:ascii="微软雅黑" w:hAnsi="微软雅黑" w:eastAsia="微软雅黑" w:cs="微软雅黑"/>
                <w:sz w:val="24"/>
                <w:szCs w:val="24"/>
                <w:highlight w:val="none"/>
              </w:rPr>
            </w:pPr>
          </w:p>
        </w:tc>
        <w:tc>
          <w:tcPr>
            <w:tcW w:w="1065" w:type="dxa"/>
            <w:noWrap w:val="0"/>
            <w:vAlign w:val="top"/>
          </w:tcPr>
          <w:p w14:paraId="32399EA8">
            <w:pPr>
              <w:spacing w:line="300" w:lineRule="exact"/>
              <w:rPr>
                <w:rFonts w:ascii="微软雅黑" w:hAnsi="微软雅黑" w:eastAsia="微软雅黑" w:cs="微软雅黑"/>
                <w:sz w:val="24"/>
                <w:szCs w:val="24"/>
                <w:highlight w:val="none"/>
              </w:rPr>
            </w:pPr>
          </w:p>
        </w:tc>
        <w:tc>
          <w:tcPr>
            <w:tcW w:w="2249" w:type="dxa"/>
            <w:noWrap w:val="0"/>
            <w:vAlign w:val="top"/>
          </w:tcPr>
          <w:p w14:paraId="189C4E77">
            <w:pPr>
              <w:spacing w:line="300" w:lineRule="exact"/>
              <w:rPr>
                <w:rFonts w:ascii="微软雅黑" w:hAnsi="微软雅黑" w:eastAsia="微软雅黑" w:cs="微软雅黑"/>
                <w:sz w:val="24"/>
                <w:szCs w:val="24"/>
                <w:highlight w:val="none"/>
              </w:rPr>
            </w:pPr>
          </w:p>
        </w:tc>
        <w:tc>
          <w:tcPr>
            <w:tcW w:w="1275" w:type="dxa"/>
            <w:noWrap w:val="0"/>
            <w:vAlign w:val="top"/>
          </w:tcPr>
          <w:p w14:paraId="508897FD">
            <w:pPr>
              <w:spacing w:line="300" w:lineRule="exact"/>
              <w:rPr>
                <w:rFonts w:ascii="微软雅黑" w:hAnsi="微软雅黑" w:eastAsia="微软雅黑" w:cs="微软雅黑"/>
                <w:sz w:val="24"/>
                <w:szCs w:val="24"/>
                <w:highlight w:val="none"/>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5A54AF4B">
            <w:pPr>
              <w:spacing w:line="300" w:lineRule="exact"/>
              <w:rPr>
                <w:rFonts w:ascii="微软雅黑" w:hAnsi="微软雅黑" w:eastAsia="微软雅黑" w:cs="微软雅黑"/>
                <w:sz w:val="24"/>
                <w:szCs w:val="24"/>
                <w:highlight w:val="none"/>
              </w:rPr>
            </w:pPr>
          </w:p>
        </w:tc>
        <w:tc>
          <w:tcPr>
            <w:tcW w:w="2356" w:type="dxa"/>
            <w:noWrap w:val="0"/>
            <w:vAlign w:val="top"/>
          </w:tcPr>
          <w:p w14:paraId="2F453EE4">
            <w:pPr>
              <w:spacing w:line="300" w:lineRule="exact"/>
              <w:rPr>
                <w:rFonts w:ascii="微软雅黑" w:hAnsi="微软雅黑" w:eastAsia="微软雅黑" w:cs="微软雅黑"/>
                <w:sz w:val="24"/>
                <w:szCs w:val="24"/>
                <w:highlight w:val="none"/>
              </w:rPr>
            </w:pPr>
          </w:p>
        </w:tc>
        <w:tc>
          <w:tcPr>
            <w:tcW w:w="1065" w:type="dxa"/>
            <w:noWrap w:val="0"/>
            <w:vAlign w:val="top"/>
          </w:tcPr>
          <w:p w14:paraId="60726E11">
            <w:pPr>
              <w:spacing w:line="300" w:lineRule="exact"/>
              <w:rPr>
                <w:rFonts w:ascii="微软雅黑" w:hAnsi="微软雅黑" w:eastAsia="微软雅黑" w:cs="微软雅黑"/>
                <w:sz w:val="24"/>
                <w:szCs w:val="24"/>
                <w:highlight w:val="none"/>
              </w:rPr>
            </w:pPr>
          </w:p>
        </w:tc>
        <w:tc>
          <w:tcPr>
            <w:tcW w:w="2249" w:type="dxa"/>
            <w:noWrap w:val="0"/>
            <w:vAlign w:val="top"/>
          </w:tcPr>
          <w:p w14:paraId="6A115EA7">
            <w:pPr>
              <w:spacing w:line="300" w:lineRule="exact"/>
              <w:rPr>
                <w:rFonts w:ascii="微软雅黑" w:hAnsi="微软雅黑" w:eastAsia="微软雅黑" w:cs="微软雅黑"/>
                <w:sz w:val="24"/>
                <w:szCs w:val="24"/>
                <w:highlight w:val="none"/>
              </w:rPr>
            </w:pPr>
          </w:p>
        </w:tc>
        <w:tc>
          <w:tcPr>
            <w:tcW w:w="1275" w:type="dxa"/>
            <w:noWrap w:val="0"/>
            <w:vAlign w:val="top"/>
          </w:tcPr>
          <w:p w14:paraId="4E2343EF">
            <w:pPr>
              <w:spacing w:line="300" w:lineRule="exact"/>
              <w:rPr>
                <w:rFonts w:ascii="微软雅黑" w:hAnsi="微软雅黑" w:eastAsia="微软雅黑" w:cs="微软雅黑"/>
                <w:sz w:val="24"/>
                <w:szCs w:val="24"/>
                <w:highlight w:val="none"/>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39E09641">
            <w:pPr>
              <w:spacing w:line="300" w:lineRule="exact"/>
              <w:rPr>
                <w:rFonts w:ascii="微软雅黑" w:hAnsi="微软雅黑" w:eastAsia="微软雅黑" w:cs="微软雅黑"/>
                <w:sz w:val="24"/>
                <w:szCs w:val="24"/>
                <w:highlight w:val="none"/>
              </w:rPr>
            </w:pPr>
          </w:p>
        </w:tc>
        <w:tc>
          <w:tcPr>
            <w:tcW w:w="2356" w:type="dxa"/>
            <w:noWrap w:val="0"/>
            <w:vAlign w:val="top"/>
          </w:tcPr>
          <w:p w14:paraId="09FD19F7">
            <w:pPr>
              <w:spacing w:line="300" w:lineRule="exact"/>
              <w:rPr>
                <w:rFonts w:ascii="微软雅黑" w:hAnsi="微软雅黑" w:eastAsia="微软雅黑" w:cs="微软雅黑"/>
                <w:sz w:val="24"/>
                <w:szCs w:val="24"/>
                <w:highlight w:val="none"/>
              </w:rPr>
            </w:pPr>
          </w:p>
        </w:tc>
        <w:tc>
          <w:tcPr>
            <w:tcW w:w="1065" w:type="dxa"/>
            <w:noWrap w:val="0"/>
            <w:vAlign w:val="top"/>
          </w:tcPr>
          <w:p w14:paraId="3C26AA01">
            <w:pPr>
              <w:spacing w:line="300" w:lineRule="exact"/>
              <w:rPr>
                <w:rFonts w:ascii="微软雅黑" w:hAnsi="微软雅黑" w:eastAsia="微软雅黑" w:cs="微软雅黑"/>
                <w:sz w:val="24"/>
                <w:szCs w:val="24"/>
                <w:highlight w:val="none"/>
              </w:rPr>
            </w:pPr>
          </w:p>
        </w:tc>
        <w:tc>
          <w:tcPr>
            <w:tcW w:w="2249" w:type="dxa"/>
            <w:noWrap w:val="0"/>
            <w:vAlign w:val="top"/>
          </w:tcPr>
          <w:p w14:paraId="3A337A93">
            <w:pPr>
              <w:spacing w:line="300" w:lineRule="exact"/>
              <w:rPr>
                <w:rFonts w:ascii="微软雅黑" w:hAnsi="微软雅黑" w:eastAsia="微软雅黑" w:cs="微软雅黑"/>
                <w:sz w:val="24"/>
                <w:szCs w:val="24"/>
                <w:highlight w:val="none"/>
              </w:rPr>
            </w:pPr>
          </w:p>
        </w:tc>
        <w:tc>
          <w:tcPr>
            <w:tcW w:w="1275" w:type="dxa"/>
            <w:noWrap w:val="0"/>
            <w:vAlign w:val="top"/>
          </w:tcPr>
          <w:p w14:paraId="1641DC75">
            <w:pPr>
              <w:spacing w:line="300" w:lineRule="exact"/>
              <w:rPr>
                <w:rFonts w:ascii="微软雅黑" w:hAnsi="微软雅黑" w:eastAsia="微软雅黑" w:cs="微软雅黑"/>
                <w:sz w:val="24"/>
                <w:szCs w:val="24"/>
                <w:highlight w:val="none"/>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8"/>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5F59C1E7">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3AC1AD3F">
            <w:pPr>
              <w:spacing w:line="300" w:lineRule="exact"/>
              <w:rPr>
                <w:rFonts w:ascii="微软雅黑" w:hAnsi="微软雅黑" w:eastAsia="微软雅黑" w:cs="微软雅黑"/>
                <w:sz w:val="24"/>
                <w:szCs w:val="24"/>
                <w:highlight w:val="none"/>
              </w:rPr>
            </w:pPr>
          </w:p>
        </w:tc>
      </w:tr>
    </w:tbl>
    <w:p w14:paraId="55A53F87">
      <w:pPr>
        <w:pStyle w:val="12"/>
        <w:ind w:firstLine="0"/>
        <w:rPr>
          <w:rFonts w:hint="eastAsia"/>
          <w:highlight w:val="none"/>
        </w:rPr>
      </w:pPr>
    </w:p>
    <w:p w14:paraId="56E8C518">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0793C269">
      <w:pPr>
        <w:spacing w:line="600" w:lineRule="exact"/>
        <w:ind w:firstLine="556" w:firstLineChars="200"/>
        <w:rPr>
          <w:rFonts w:ascii="微软雅黑" w:hAnsi="微软雅黑" w:eastAsia="微软雅黑" w:cs="微软雅黑"/>
          <w:sz w:val="30"/>
          <w:szCs w:val="30"/>
          <w:highlight w:val="none"/>
        </w:rPr>
      </w:pPr>
    </w:p>
    <w:p w14:paraId="498AA92E">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1A117DC9">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327E10E0">
      <w:pPr>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br w:type="page"/>
      </w:r>
    </w:p>
    <w:p w14:paraId="7C24943D">
      <w:pPr>
        <w:spacing w:line="594" w:lineRule="exact"/>
        <w:jc w:val="both"/>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101BC091">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4"/>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2339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0F68E4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64833F">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4908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1ACABC9">
            <w:pPr>
              <w:spacing w:line="594" w:lineRule="exact"/>
              <w:ind w:firstLine="556" w:firstLineChars="200"/>
              <w:rPr>
                <w:rFonts w:hint="eastAsia" w:ascii="方正仿宋_GBK" w:eastAsia="方正仿宋_GBK"/>
                <w:sz w:val="30"/>
                <w:szCs w:val="30"/>
                <w:highlight w:val="none"/>
              </w:rPr>
            </w:pPr>
          </w:p>
        </w:tc>
      </w:tr>
      <w:tr w14:paraId="3E2D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289A9B4">
            <w:pPr>
              <w:spacing w:line="594" w:lineRule="exact"/>
              <w:ind w:firstLine="556" w:firstLineChars="200"/>
              <w:rPr>
                <w:rFonts w:hint="eastAsia" w:ascii="方正仿宋_GBK" w:eastAsia="方正仿宋_GBK"/>
                <w:sz w:val="30"/>
                <w:szCs w:val="30"/>
                <w:highlight w:val="none"/>
              </w:rPr>
            </w:pPr>
          </w:p>
        </w:tc>
      </w:tr>
      <w:tr w14:paraId="720A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9799B3B">
            <w:pPr>
              <w:spacing w:line="594" w:lineRule="exact"/>
              <w:ind w:firstLine="556" w:firstLineChars="200"/>
              <w:rPr>
                <w:rFonts w:hint="eastAsia" w:ascii="方正仿宋_GBK" w:eastAsia="方正仿宋_GBK"/>
                <w:sz w:val="30"/>
                <w:szCs w:val="30"/>
                <w:highlight w:val="none"/>
              </w:rPr>
            </w:pPr>
          </w:p>
        </w:tc>
      </w:tr>
      <w:tr w14:paraId="4A00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E121C9A">
            <w:pPr>
              <w:spacing w:line="594" w:lineRule="exact"/>
              <w:ind w:firstLine="556" w:firstLineChars="200"/>
              <w:rPr>
                <w:rFonts w:hint="eastAsia" w:ascii="方正仿宋_GBK" w:eastAsia="方正仿宋_GBK"/>
                <w:sz w:val="30"/>
                <w:szCs w:val="30"/>
                <w:highlight w:val="none"/>
              </w:rPr>
            </w:pPr>
          </w:p>
        </w:tc>
      </w:tr>
      <w:tr w14:paraId="4C8E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AD08DC">
            <w:pPr>
              <w:spacing w:line="594" w:lineRule="exact"/>
              <w:ind w:firstLine="556" w:firstLineChars="200"/>
              <w:rPr>
                <w:rFonts w:hint="eastAsia" w:ascii="方正仿宋_GBK" w:eastAsia="方正仿宋_GBK"/>
                <w:sz w:val="30"/>
                <w:szCs w:val="30"/>
                <w:highlight w:val="none"/>
              </w:rPr>
            </w:pPr>
          </w:p>
        </w:tc>
      </w:tr>
      <w:tr w14:paraId="5ADC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B11D512">
            <w:pPr>
              <w:spacing w:line="594" w:lineRule="exact"/>
              <w:ind w:firstLine="556" w:firstLineChars="200"/>
              <w:rPr>
                <w:rFonts w:hint="eastAsia" w:ascii="方正仿宋_GBK" w:eastAsia="方正仿宋_GBK"/>
                <w:sz w:val="30"/>
                <w:szCs w:val="30"/>
                <w:highlight w:val="none"/>
              </w:rPr>
            </w:pPr>
          </w:p>
        </w:tc>
      </w:tr>
      <w:tr w14:paraId="3A76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F9AD24C">
            <w:pPr>
              <w:spacing w:line="594" w:lineRule="exact"/>
              <w:ind w:firstLine="556" w:firstLineChars="200"/>
              <w:rPr>
                <w:rFonts w:hint="eastAsia" w:ascii="方正仿宋_GBK" w:eastAsia="方正仿宋_GBK"/>
                <w:sz w:val="30"/>
                <w:szCs w:val="30"/>
                <w:highlight w:val="none"/>
              </w:rPr>
            </w:pPr>
          </w:p>
        </w:tc>
      </w:tr>
      <w:tr w14:paraId="52BA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3C8CB64">
            <w:pPr>
              <w:spacing w:line="594" w:lineRule="exact"/>
              <w:ind w:firstLine="556" w:firstLineChars="200"/>
              <w:rPr>
                <w:rFonts w:hint="eastAsia" w:ascii="方正仿宋_GBK" w:eastAsia="方正仿宋_GBK"/>
                <w:sz w:val="30"/>
                <w:szCs w:val="30"/>
                <w:highlight w:val="none"/>
              </w:rPr>
            </w:pPr>
          </w:p>
        </w:tc>
      </w:tr>
      <w:tr w14:paraId="401A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948203C">
            <w:pPr>
              <w:spacing w:line="594" w:lineRule="exact"/>
              <w:ind w:firstLine="556" w:firstLineChars="200"/>
              <w:rPr>
                <w:rFonts w:hint="eastAsia" w:ascii="方正仿宋_GBK" w:eastAsia="方正仿宋_GBK"/>
                <w:sz w:val="30"/>
                <w:szCs w:val="30"/>
                <w:highlight w:val="none"/>
              </w:rPr>
            </w:pPr>
          </w:p>
        </w:tc>
      </w:tr>
      <w:tr w14:paraId="63BF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1AC802">
            <w:pPr>
              <w:spacing w:line="594" w:lineRule="exact"/>
              <w:ind w:firstLine="556" w:firstLineChars="200"/>
              <w:rPr>
                <w:rFonts w:hint="eastAsia" w:ascii="方正仿宋_GBK" w:eastAsia="方正仿宋_GBK"/>
                <w:sz w:val="30"/>
                <w:szCs w:val="30"/>
                <w:highlight w:val="none"/>
              </w:rPr>
            </w:pPr>
          </w:p>
        </w:tc>
      </w:tr>
      <w:tr w14:paraId="2900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96BCBA3">
            <w:pPr>
              <w:spacing w:line="594" w:lineRule="exact"/>
              <w:ind w:firstLine="556" w:firstLineChars="200"/>
              <w:rPr>
                <w:rFonts w:hint="eastAsia" w:ascii="方正仿宋_GBK" w:eastAsia="方正仿宋_GBK"/>
                <w:sz w:val="30"/>
                <w:szCs w:val="30"/>
                <w:highlight w:val="none"/>
              </w:rPr>
            </w:pPr>
          </w:p>
        </w:tc>
      </w:tr>
    </w:tbl>
    <w:p w14:paraId="70557DE1">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1E13594">
      <w:pPr>
        <w:numPr>
          <w:ilvl w:val="0"/>
          <w:numId w:val="7"/>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70C8F67D">
      <w:pPr>
        <w:numPr>
          <w:ilvl w:val="0"/>
          <w:numId w:val="7"/>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5E99A7EF">
      <w:pPr>
        <w:spacing w:line="594" w:lineRule="exact"/>
        <w:ind w:firstLine="596" w:firstLineChars="200"/>
        <w:rPr>
          <w:rFonts w:hint="eastAsia" w:ascii="方正仿宋_GBK" w:eastAsia="方正仿宋_GBK"/>
          <w:sz w:val="32"/>
          <w:szCs w:val="32"/>
          <w:highlight w:val="none"/>
        </w:rPr>
      </w:pPr>
    </w:p>
    <w:p w14:paraId="268CE2E4">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1EF405AD">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3656FCE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4"/>
        <w:tblW w:w="9969"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19"/>
        <w:gridCol w:w="3015"/>
        <w:gridCol w:w="1770"/>
      </w:tblGrid>
      <w:tr w14:paraId="745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058C00F">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A424F3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54FE69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EA3930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2E14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A81C4EE">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CEDD229">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6CD4671">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8DF1012">
            <w:pPr>
              <w:spacing w:line="594" w:lineRule="exact"/>
              <w:ind w:firstLine="556" w:firstLineChars="200"/>
              <w:rPr>
                <w:rFonts w:hint="eastAsia" w:ascii="微软雅黑" w:hAnsi="微软雅黑" w:eastAsia="微软雅黑"/>
                <w:sz w:val="30"/>
                <w:szCs w:val="30"/>
                <w:highlight w:val="none"/>
              </w:rPr>
            </w:pPr>
          </w:p>
        </w:tc>
      </w:tr>
      <w:tr w14:paraId="472E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5F023D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ED0A842">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4427DD62">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AAE1F65">
            <w:pPr>
              <w:spacing w:line="594" w:lineRule="exact"/>
              <w:ind w:firstLine="556" w:firstLineChars="200"/>
              <w:rPr>
                <w:rFonts w:hint="eastAsia" w:ascii="微软雅黑" w:hAnsi="微软雅黑" w:eastAsia="微软雅黑"/>
                <w:sz w:val="30"/>
                <w:szCs w:val="30"/>
                <w:highlight w:val="none"/>
              </w:rPr>
            </w:pP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highlight w:val="none"/>
              </w:rPr>
            </w:pPr>
          </w:p>
        </w:tc>
      </w:tr>
      <w:tr w14:paraId="504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B3311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B5C8FF8">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77E961DE">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D300E76">
            <w:pPr>
              <w:spacing w:line="594" w:lineRule="exact"/>
              <w:ind w:firstLine="556" w:firstLineChars="200"/>
              <w:rPr>
                <w:rFonts w:hint="eastAsia" w:ascii="微软雅黑" w:hAnsi="微软雅黑" w:eastAsia="微软雅黑"/>
                <w:sz w:val="30"/>
                <w:szCs w:val="30"/>
                <w:highlight w:val="none"/>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highlight w:val="none"/>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highlight w:val="none"/>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highlight w:val="none"/>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highlight w:val="none"/>
              </w:rPr>
            </w:pPr>
          </w:p>
        </w:tc>
      </w:tr>
    </w:tbl>
    <w:p w14:paraId="06B41339">
      <w:pPr>
        <w:spacing w:line="594" w:lineRule="exact"/>
        <w:ind w:firstLine="556" w:firstLineChars="200"/>
        <w:rPr>
          <w:rFonts w:hint="eastAsia" w:ascii="微软雅黑" w:hAnsi="微软雅黑" w:eastAsia="微软雅黑"/>
          <w:sz w:val="30"/>
          <w:szCs w:val="30"/>
          <w:highlight w:val="none"/>
        </w:rPr>
      </w:pPr>
    </w:p>
    <w:p w14:paraId="05B6F9B0">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D4D9BFE">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本项目其他采购人的业绩资料（如合同或发票等）。</w:t>
      </w:r>
    </w:p>
    <w:p w14:paraId="4ACD48E7">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0B342572">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w:t>
      </w:r>
    </w:p>
    <w:p w14:paraId="5F9D816F">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投标服务相关资料</w:t>
      </w:r>
    </w:p>
    <w:p w14:paraId="7B2E5811">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22F2D406">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配套</w:t>
      </w:r>
      <w:r>
        <w:rPr>
          <w:rFonts w:hint="eastAsia" w:ascii="方正仿宋_GBK" w:hAnsi="方正仿宋_GBK" w:eastAsia="方正仿宋_GBK" w:cs="方正仿宋_GBK"/>
          <w:b/>
          <w:bCs/>
          <w:sz w:val="32"/>
          <w:szCs w:val="32"/>
          <w:highlight w:val="none"/>
        </w:rPr>
        <w:t>服务承诺</w:t>
      </w:r>
    </w:p>
    <w:p w14:paraId="20721E0A">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val="en-US"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4C26E8B4">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宋体"/>
          <w:sz w:val="30"/>
          <w:szCs w:val="30"/>
          <w:highlight w:val="none"/>
          <w:lang w:eastAsia="zh-CN"/>
        </w:rPr>
        <w:t>、保密要求、数据溯源</w:t>
      </w:r>
      <w:r>
        <w:rPr>
          <w:rFonts w:hint="eastAsia" w:ascii="微软雅黑" w:hAnsi="微软雅黑" w:eastAsia="微软雅黑" w:cs="___WRD_EMBED_SUB_53"/>
          <w:sz w:val="30"/>
          <w:szCs w:val="30"/>
          <w:highlight w:val="none"/>
        </w:rPr>
        <w:t>等）</w:t>
      </w:r>
    </w:p>
    <w:p w14:paraId="0EECF930">
      <w:pPr>
        <w:rPr>
          <w:rFonts w:hint="eastAsia" w:ascii="仿宋_GB2312" w:eastAsia="仿宋_GB2312" w:cs="宋体"/>
          <w:color w:val="auto"/>
          <w:sz w:val="32"/>
          <w:szCs w:val="32"/>
          <w:highlight w:val="none"/>
          <w:lang w:val="en-US" w:eastAsia="zh-CN"/>
        </w:rPr>
      </w:pPr>
    </w:p>
    <w:p w14:paraId="7ECFAA6F">
      <w:pPr>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br w:type="page"/>
      </w:r>
    </w:p>
    <w:p w14:paraId="64D4D3B3">
      <w:pPr>
        <w:pStyle w:val="5"/>
        <w:jc w:val="both"/>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宋体"/>
          <w:kern w:val="2"/>
          <w:sz w:val="32"/>
          <w:szCs w:val="32"/>
          <w:highlight w:val="none"/>
          <w:lang w:val="en-US" w:eastAsia="zh-CN" w:bidi="ar-SA"/>
        </w:rPr>
        <w:t>项目服务方案（应具体到</w:t>
      </w:r>
      <w:r>
        <w:rPr>
          <w:rFonts w:hint="eastAsia" w:ascii="仿宋_GB2312" w:eastAsia="仿宋_GB2312" w:cs="宋体"/>
          <w:kern w:val="2"/>
          <w:sz w:val="32"/>
          <w:szCs w:val="32"/>
          <w:highlight w:val="none"/>
          <w:lang w:val="en-US" w:eastAsia="zh-CN" w:bidi="ar-SA"/>
        </w:rPr>
        <w:t>样</w:t>
      </w:r>
      <w:r>
        <w:rPr>
          <w:rFonts w:hint="eastAsia" w:ascii="仿宋_GB2312" w:hAnsi="宋体" w:eastAsia="仿宋_GB2312" w:cs="宋体"/>
          <w:kern w:val="2"/>
          <w:sz w:val="32"/>
          <w:szCs w:val="32"/>
          <w:highlight w:val="none"/>
          <w:lang w:val="en-US" w:eastAsia="zh-CN" w:bidi="ar-SA"/>
        </w:rPr>
        <w:t>本接收运输管理、检测进度计划、项目阶段性沟通、人员设备安排、保密措施等）</w:t>
      </w:r>
    </w:p>
    <w:p w14:paraId="24D85696">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27C2C9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3C43D937">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275BC50E">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4F909946">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39B09101">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16796E28"/>
    <w:multiLevelType w:val="singleLevel"/>
    <w:tmpl w:val="16796E28"/>
    <w:lvl w:ilvl="0" w:tentative="0">
      <w:start w:val="2"/>
      <w:numFmt w:val="chineseCounting"/>
      <w:suff w:val="nothing"/>
      <w:lvlText w:val="%1、"/>
      <w:lvlJc w:val="left"/>
      <w:rPr>
        <w:rFonts w:hint="eastAsia"/>
      </w:r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593E016B"/>
    <w:multiLevelType w:val="singleLevel"/>
    <w:tmpl w:val="593E016B"/>
    <w:lvl w:ilvl="0" w:tentative="0">
      <w:start w:val="1"/>
      <w:numFmt w:val="chineseCounting"/>
      <w:suff w:val="nothing"/>
      <w:lvlText w:val="%1、"/>
      <w:lvlJc w:val="left"/>
      <w:rPr>
        <w:rFonts w:hint="eastAsia"/>
      </w:rPr>
    </w:lvl>
  </w:abstractNum>
  <w:abstractNum w:abstractNumId="4">
    <w:nsid w:val="5A36E599"/>
    <w:multiLevelType w:val="singleLevel"/>
    <w:tmpl w:val="5A36E599"/>
    <w:lvl w:ilvl="0" w:tentative="0">
      <w:start w:val="6"/>
      <w:numFmt w:val="chineseCounting"/>
      <w:suff w:val="nothing"/>
      <w:lvlText w:val="（%1）"/>
      <w:lvlJc w:val="left"/>
      <w:rPr>
        <w:rFonts w:hint="eastAsia"/>
      </w:rPr>
    </w:lvl>
  </w:abstractNum>
  <w:abstractNum w:abstractNumId="5">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6">
    <w:nsid w:val="7DDADD90"/>
    <w:multiLevelType w:val="singleLevel"/>
    <w:tmpl w:val="7DDADD90"/>
    <w:lvl w:ilvl="0" w:tentative="0">
      <w:start w:val="1"/>
      <w:numFmt w:val="decimal"/>
      <w:lvlText w:val="%1."/>
      <w:lvlJc w:val="left"/>
      <w:pPr>
        <w:tabs>
          <w:tab w:val="left" w:pos="312"/>
        </w:tabs>
      </w:pPr>
    </w:lvl>
  </w:abstractNum>
  <w:num w:numId="1">
    <w:abstractNumId w:val="2"/>
  </w:num>
  <w:num w:numId="2">
    <w:abstractNumId w:val="5"/>
  </w:num>
  <w:num w:numId="3">
    <w:abstractNumId w:val="3"/>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024C4"/>
    <w:rsid w:val="015B6D6E"/>
    <w:rsid w:val="02E501FA"/>
    <w:rsid w:val="03A67C4F"/>
    <w:rsid w:val="03CE68FB"/>
    <w:rsid w:val="041961A8"/>
    <w:rsid w:val="044A060F"/>
    <w:rsid w:val="04C70F47"/>
    <w:rsid w:val="056E5276"/>
    <w:rsid w:val="06FB539B"/>
    <w:rsid w:val="074B78AB"/>
    <w:rsid w:val="07F82B6D"/>
    <w:rsid w:val="09604328"/>
    <w:rsid w:val="0A86348F"/>
    <w:rsid w:val="0BCE4B39"/>
    <w:rsid w:val="0C872834"/>
    <w:rsid w:val="0C974041"/>
    <w:rsid w:val="0CB1115F"/>
    <w:rsid w:val="0CE64C8D"/>
    <w:rsid w:val="0D5C636E"/>
    <w:rsid w:val="0D913B3D"/>
    <w:rsid w:val="0E440BB0"/>
    <w:rsid w:val="0E6637FD"/>
    <w:rsid w:val="0E6753E5"/>
    <w:rsid w:val="0E9F1F75"/>
    <w:rsid w:val="0F3D73C4"/>
    <w:rsid w:val="0FAB7A71"/>
    <w:rsid w:val="0FD01451"/>
    <w:rsid w:val="10945E1E"/>
    <w:rsid w:val="109A11ED"/>
    <w:rsid w:val="11594F0F"/>
    <w:rsid w:val="122D0B62"/>
    <w:rsid w:val="133D5E0A"/>
    <w:rsid w:val="17772668"/>
    <w:rsid w:val="1922346A"/>
    <w:rsid w:val="19375EE1"/>
    <w:rsid w:val="19FC6B1C"/>
    <w:rsid w:val="1A1C7FE3"/>
    <w:rsid w:val="1AAE2C67"/>
    <w:rsid w:val="1AF86BE0"/>
    <w:rsid w:val="1B3306B6"/>
    <w:rsid w:val="1BDE0896"/>
    <w:rsid w:val="1CF00EFC"/>
    <w:rsid w:val="1E552F6B"/>
    <w:rsid w:val="1F2F00AB"/>
    <w:rsid w:val="20746E51"/>
    <w:rsid w:val="21426D4A"/>
    <w:rsid w:val="22240453"/>
    <w:rsid w:val="229A0B71"/>
    <w:rsid w:val="22F03C5B"/>
    <w:rsid w:val="236757CC"/>
    <w:rsid w:val="23FB11F4"/>
    <w:rsid w:val="24D32F62"/>
    <w:rsid w:val="26541E80"/>
    <w:rsid w:val="26EB3E67"/>
    <w:rsid w:val="28687E65"/>
    <w:rsid w:val="29AE2A56"/>
    <w:rsid w:val="29F1586C"/>
    <w:rsid w:val="29FA37EC"/>
    <w:rsid w:val="2A402D6D"/>
    <w:rsid w:val="2C3529EE"/>
    <w:rsid w:val="2C7E2617"/>
    <w:rsid w:val="2CC37769"/>
    <w:rsid w:val="2F2F3117"/>
    <w:rsid w:val="2FC44243"/>
    <w:rsid w:val="31092EA8"/>
    <w:rsid w:val="32214672"/>
    <w:rsid w:val="33FB61AD"/>
    <w:rsid w:val="342C6BC9"/>
    <w:rsid w:val="35761799"/>
    <w:rsid w:val="357C2FC3"/>
    <w:rsid w:val="36432BB5"/>
    <w:rsid w:val="376E6279"/>
    <w:rsid w:val="38A14340"/>
    <w:rsid w:val="396A2364"/>
    <w:rsid w:val="3A2C5456"/>
    <w:rsid w:val="3A8A6AFB"/>
    <w:rsid w:val="3B5B7766"/>
    <w:rsid w:val="3B9A7DAE"/>
    <w:rsid w:val="3D8263F7"/>
    <w:rsid w:val="3E9F6BB4"/>
    <w:rsid w:val="40611EDD"/>
    <w:rsid w:val="41B900E2"/>
    <w:rsid w:val="439873F8"/>
    <w:rsid w:val="442069E9"/>
    <w:rsid w:val="44C5770F"/>
    <w:rsid w:val="44EF71C4"/>
    <w:rsid w:val="45170BAD"/>
    <w:rsid w:val="45EF05E5"/>
    <w:rsid w:val="471277E6"/>
    <w:rsid w:val="473F7C96"/>
    <w:rsid w:val="475D7492"/>
    <w:rsid w:val="482D6FF9"/>
    <w:rsid w:val="49470D20"/>
    <w:rsid w:val="496140CE"/>
    <w:rsid w:val="4AA416B0"/>
    <w:rsid w:val="4AE139DB"/>
    <w:rsid w:val="4B782C5C"/>
    <w:rsid w:val="4BDB0A24"/>
    <w:rsid w:val="4C31315D"/>
    <w:rsid w:val="4E3B1140"/>
    <w:rsid w:val="4F6D75ED"/>
    <w:rsid w:val="50F964C5"/>
    <w:rsid w:val="51352B6B"/>
    <w:rsid w:val="51736DAF"/>
    <w:rsid w:val="53A17F68"/>
    <w:rsid w:val="53DB6C22"/>
    <w:rsid w:val="55085A60"/>
    <w:rsid w:val="55956EC5"/>
    <w:rsid w:val="57744314"/>
    <w:rsid w:val="57B37553"/>
    <w:rsid w:val="585F1623"/>
    <w:rsid w:val="597436C4"/>
    <w:rsid w:val="59A815C0"/>
    <w:rsid w:val="5BB04553"/>
    <w:rsid w:val="5BD41136"/>
    <w:rsid w:val="5DBD061A"/>
    <w:rsid w:val="5E932E93"/>
    <w:rsid w:val="5FA4498B"/>
    <w:rsid w:val="61130716"/>
    <w:rsid w:val="61143219"/>
    <w:rsid w:val="6138591F"/>
    <w:rsid w:val="61707CCC"/>
    <w:rsid w:val="61A6052D"/>
    <w:rsid w:val="626B6216"/>
    <w:rsid w:val="637666C3"/>
    <w:rsid w:val="63814C5E"/>
    <w:rsid w:val="643E385E"/>
    <w:rsid w:val="649966D5"/>
    <w:rsid w:val="64B2548C"/>
    <w:rsid w:val="67CF5844"/>
    <w:rsid w:val="69D01878"/>
    <w:rsid w:val="6A1F4430"/>
    <w:rsid w:val="6B247663"/>
    <w:rsid w:val="6BAB20AE"/>
    <w:rsid w:val="6D1A412B"/>
    <w:rsid w:val="6D1F523E"/>
    <w:rsid w:val="6D204144"/>
    <w:rsid w:val="6D38732A"/>
    <w:rsid w:val="6DD05A39"/>
    <w:rsid w:val="6EC6360F"/>
    <w:rsid w:val="6F3E2352"/>
    <w:rsid w:val="6F9A2F0D"/>
    <w:rsid w:val="6FB940CF"/>
    <w:rsid w:val="70237F96"/>
    <w:rsid w:val="713118C3"/>
    <w:rsid w:val="71C02C3F"/>
    <w:rsid w:val="72BB5C94"/>
    <w:rsid w:val="732B3BA9"/>
    <w:rsid w:val="73C21B9F"/>
    <w:rsid w:val="744E4384"/>
    <w:rsid w:val="74D3615F"/>
    <w:rsid w:val="75E0445A"/>
    <w:rsid w:val="77991C4E"/>
    <w:rsid w:val="77FA34D6"/>
    <w:rsid w:val="78024143"/>
    <w:rsid w:val="798264FA"/>
    <w:rsid w:val="799B64FC"/>
    <w:rsid w:val="7AF0174A"/>
    <w:rsid w:val="7BDE27F0"/>
    <w:rsid w:val="7C6F2CF1"/>
    <w:rsid w:val="7C765833"/>
    <w:rsid w:val="7CA67789"/>
    <w:rsid w:val="7E192908"/>
    <w:rsid w:val="7E7E5944"/>
    <w:rsid w:val="7EE67CE4"/>
    <w:rsid w:val="7FA7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next w:val="13"/>
    <w:qFormat/>
    <w:uiPriority w:val="0"/>
    <w:pPr>
      <w:spacing w:line="360" w:lineRule="auto"/>
      <w:ind w:firstLine="420"/>
    </w:pPr>
    <w:rPr>
      <w:rFonts w:ascii="宋体" w:hAnsi="宋体"/>
      <w:sz w:val="24"/>
    </w:rPr>
  </w:style>
  <w:style w:type="paragraph" w:styleId="13">
    <w:name w:val="Body Text First Indent 2"/>
    <w:basedOn w:val="6"/>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qFormat/>
    <w:uiPriority w:val="0"/>
    <w:rPr>
      <w:sz w:val="21"/>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6"/>
    <w:qFormat/>
    <w:uiPriority w:val="0"/>
    <w:rPr>
      <w:rFonts w:ascii="楷体" w:hAnsi="楷体" w:eastAsia="楷体" w:cs="楷体"/>
      <w:color w:val="000000"/>
      <w:sz w:val="22"/>
      <w:szCs w:val="22"/>
      <w:u w:val="none"/>
      <w:vertAlign w:val="superscript"/>
    </w:rPr>
  </w:style>
  <w:style w:type="character" w:customStyle="1" w:styleId="23">
    <w:name w:val="font21"/>
    <w:basedOn w:val="16"/>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5842</Words>
  <Characters>6195</Characters>
  <Lines>0</Lines>
  <Paragraphs>0</Paragraphs>
  <TotalTime>2</TotalTime>
  <ScaleCrop>false</ScaleCrop>
  <LinksUpToDate>false</LinksUpToDate>
  <CharactersWithSpaces>6656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2025-10-31T07:13:28Z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CE9D5840DD0C42DBA7277E0172C8442B_13</vt:lpwstr>
  </property>
  <property fmtid="{D5CDD505-2E9C-101B-9397-08002B2CF9AE}" pid="4" name="KSOTemplateDocerSaveRecord">
    <vt:lpwstr>eyJoZGlkIjoiNzdkNTM4MTkwYTE0Yjk0Y2Y4MjVlZDcwOGViZTQwYjIiLCJ1c2VySWQiOiIxMTc2NDE1MTk0In0=</vt:lpwstr>
  </property>
</Properties>
</file>