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项目名称：2024年期刊订阅及临床科室重点需求图书</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firstLine="48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1.</w:t>
      </w:r>
      <w:r>
        <w:rPr>
          <w:rFonts w:hint="eastAsia" w:ascii="仿宋_GB2312" w:hAnsi="宋体" w:eastAsia="仿宋_GB2312" w:cs="宋体"/>
          <w:color w:val="auto"/>
          <w:sz w:val="32"/>
          <w:szCs w:val="32"/>
          <w:lang w:val="en-US" w:eastAsia="zh-CN"/>
        </w:rPr>
        <w:t>营业执照复印或扫描件（须圈出符合资质要求的经营范围和有效期）</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lang w:val="zh-CN" w:eastAsia="zh-CN"/>
        </w:rPr>
        <w:t>.</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bookmarkStart w:id="31" w:name="_GoBack"/>
      <w:bookmarkEnd w:id="31"/>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3.法人身份证明。</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4.法人授权委托书。</w:t>
      </w:r>
    </w:p>
    <w:p>
      <w:pPr>
        <w:pStyle w:val="3"/>
        <w:ind w:left="0" w:leftChars="0" w:firstLine="419" w:firstLineChars="131"/>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3"/>
        <w:ind w:left="0" w:leftChars="0" w:firstLine="419" w:firstLineChars="131"/>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6.其他可以证明投标人有能力完成本项目的佐证材料（如公司介绍、产品检测报告等）。</w:t>
      </w:r>
    </w:p>
    <w:p>
      <w:pPr>
        <w:ind w:firstLine="320" w:firstLineChars="100"/>
        <w:rPr>
          <w:rFonts w:hint="default"/>
          <w:lang w:val="en-US" w:eastAsia="zh-CN"/>
        </w:rPr>
      </w:pPr>
      <w:r>
        <w:rPr>
          <w:rFonts w:hint="eastAsia" w:ascii="仿宋_GB2312" w:eastAsia="仿宋_GB2312" w:cs="宋体"/>
          <w:color w:val="auto"/>
          <w:sz w:val="32"/>
          <w:szCs w:val="32"/>
          <w:lang w:val="en-US" w:eastAsia="zh-CN"/>
        </w:rPr>
        <w:t>7.</w:t>
      </w:r>
      <w:r>
        <w:rPr>
          <w:rFonts w:hint="eastAsia" w:ascii="仿宋_GB2312" w:hAnsi="宋体" w:eastAsia="仿宋_GB2312" w:cs="宋体"/>
          <w:color w:val="auto"/>
          <w:sz w:val="32"/>
          <w:szCs w:val="32"/>
          <w:lang w:val="en-US" w:eastAsia="zh-CN"/>
        </w:rPr>
        <w:t>投标廉政承诺。</w:t>
      </w: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1.公司营业执照（须圈出符合资质要求的经营范围和有效期）</w:t>
      </w:r>
    </w:p>
    <w:p>
      <w:pP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br w:type="page"/>
      </w:r>
    </w:p>
    <w:p>
      <w:pPr>
        <w:rPr>
          <w:rFonts w:hint="default"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t>2.报价表</w:t>
      </w:r>
    </w:p>
    <w:p>
      <w:pPr>
        <w:numPr>
          <w:ilvl w:val="0"/>
          <w:numId w:val="0"/>
        </w:numPr>
        <w:wordWrap w:val="0"/>
        <w:spacing w:line="440" w:lineRule="exact"/>
        <w:ind w:firstLine="562" w:firstLineChars="200"/>
        <w:rPr>
          <w:rFonts w:hint="eastAsia"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pPr>
        <w:pStyle w:val="16"/>
        <w:jc w:val="center"/>
        <w:rPr>
          <w:rFonts w:hint="default"/>
          <w:lang w:val="en-US" w:eastAsia="zh-CN"/>
        </w:rPr>
      </w:pPr>
      <w:r>
        <w:rPr>
          <w:rFonts w:hint="eastAsia" w:ascii="仿宋" w:hAnsi="仿宋" w:eastAsia="仿宋" w:cs="仿宋"/>
          <w:b/>
          <w:bCs/>
          <w:color w:val="auto"/>
          <w:sz w:val="36"/>
          <w:szCs w:val="24"/>
          <w:lang w:val="en-US" w:eastAsia="zh-CN"/>
        </w:rPr>
        <w:t>报价表</w:t>
      </w:r>
    </w:p>
    <w:tbl>
      <w:tblPr>
        <w:tblStyle w:val="12"/>
        <w:tblW w:w="5466" w:type="pct"/>
        <w:tblInd w:w="-5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1103"/>
        <w:gridCol w:w="2131"/>
        <w:gridCol w:w="2043"/>
        <w:gridCol w:w="899"/>
        <w:gridCol w:w="900"/>
        <w:gridCol w:w="1146"/>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Align w:val="center"/>
          </w:tcPr>
          <w:p>
            <w:pPr>
              <w:keepNext w:val="0"/>
              <w:keepLines w:val="0"/>
              <w:widowControl/>
              <w:suppressLineNumbers w:val="0"/>
              <w:jc w:val="center"/>
              <w:textAlignment w:val="center"/>
              <w:rPr>
                <w:rFonts w:hint="eastAsia"/>
                <w:vertAlign w:val="baseline"/>
                <w:lang w:val="en-US" w:eastAsia="zh-CN"/>
              </w:rPr>
            </w:pPr>
            <w:r>
              <w:rPr>
                <w:rFonts w:hint="eastAsia" w:ascii="微软雅黑" w:hAnsi="微软雅黑" w:eastAsia="微软雅黑" w:cs="微软雅黑"/>
                <w:b/>
                <w:bCs/>
                <w:i w:val="0"/>
                <w:iCs w:val="0"/>
                <w:color w:val="000000"/>
                <w:kern w:val="0"/>
                <w:sz w:val="24"/>
                <w:szCs w:val="24"/>
                <w:u w:val="none"/>
                <w:lang w:val="en-US" w:eastAsia="zh-CN" w:bidi="ar"/>
              </w:rPr>
              <w:t>序号</w:t>
            </w:r>
          </w:p>
        </w:tc>
        <w:tc>
          <w:tcPr>
            <w:tcW w:w="511" w:type="pct"/>
            <w:vAlign w:val="center"/>
          </w:tcPr>
          <w:p>
            <w:pPr>
              <w:keepNext w:val="0"/>
              <w:keepLines w:val="0"/>
              <w:widowControl/>
              <w:suppressLineNumbers w:val="0"/>
              <w:jc w:val="center"/>
              <w:textAlignment w:val="center"/>
              <w:rPr>
                <w:rFonts w:hint="eastAsia"/>
                <w:vertAlign w:val="baseline"/>
                <w:lang w:val="en-US" w:eastAsia="zh-CN"/>
              </w:rPr>
            </w:pPr>
            <w:r>
              <w:rPr>
                <w:rFonts w:hint="eastAsia" w:ascii="微软雅黑" w:hAnsi="微软雅黑" w:eastAsia="微软雅黑" w:cs="微软雅黑"/>
                <w:b/>
                <w:bCs/>
                <w:i w:val="0"/>
                <w:iCs w:val="0"/>
                <w:color w:val="000000"/>
                <w:kern w:val="0"/>
                <w:sz w:val="24"/>
                <w:szCs w:val="24"/>
                <w:u w:val="none"/>
                <w:lang w:val="en-US" w:eastAsia="zh-CN" w:bidi="ar"/>
              </w:rPr>
              <w:t>产品名称</w:t>
            </w:r>
          </w:p>
        </w:tc>
        <w:tc>
          <w:tcPr>
            <w:tcW w:w="1937" w:type="pct"/>
            <w:gridSpan w:val="2"/>
            <w:vAlign w:val="center"/>
          </w:tcPr>
          <w:p>
            <w:pPr>
              <w:keepNext w:val="0"/>
              <w:keepLines w:val="0"/>
              <w:widowControl/>
              <w:suppressLineNumbers w:val="0"/>
              <w:jc w:val="center"/>
              <w:textAlignment w:val="center"/>
              <w:rPr>
                <w:rFonts w:hint="eastAsia"/>
                <w:vertAlign w:val="baseline"/>
                <w:lang w:val="en-US" w:eastAsia="zh-CN"/>
              </w:rPr>
            </w:pPr>
            <w:r>
              <w:rPr>
                <w:rFonts w:hint="eastAsia" w:ascii="微软雅黑" w:hAnsi="微软雅黑" w:eastAsia="微软雅黑" w:cs="微软雅黑"/>
                <w:b/>
                <w:bCs/>
                <w:i w:val="0"/>
                <w:iCs w:val="0"/>
                <w:color w:val="000000"/>
                <w:kern w:val="0"/>
                <w:sz w:val="24"/>
                <w:szCs w:val="24"/>
                <w:u w:val="none"/>
                <w:lang w:val="en-US" w:eastAsia="zh-CN" w:bidi="ar"/>
              </w:rPr>
              <w:t>产品技术要求（须完全响应）</w:t>
            </w:r>
          </w:p>
        </w:tc>
        <w:tc>
          <w:tcPr>
            <w:tcW w:w="417" w:type="pct"/>
            <w:vAlign w:val="center"/>
          </w:tcPr>
          <w:p>
            <w:pPr>
              <w:keepNext w:val="0"/>
              <w:keepLines w:val="0"/>
              <w:widowControl/>
              <w:suppressLineNumbers w:val="0"/>
              <w:jc w:val="center"/>
              <w:textAlignment w:val="center"/>
              <w:rPr>
                <w:rFonts w:hint="eastAsia"/>
                <w:vertAlign w:val="baseline"/>
                <w:lang w:val="en-US" w:eastAsia="zh-CN"/>
              </w:rPr>
            </w:pPr>
            <w:r>
              <w:rPr>
                <w:rFonts w:hint="eastAsia" w:ascii="微软雅黑" w:hAnsi="微软雅黑" w:eastAsia="微软雅黑" w:cs="微软雅黑"/>
                <w:b/>
                <w:bCs/>
                <w:i w:val="0"/>
                <w:iCs w:val="0"/>
                <w:color w:val="000000"/>
                <w:kern w:val="0"/>
                <w:sz w:val="24"/>
                <w:szCs w:val="24"/>
                <w:u w:val="none"/>
                <w:lang w:val="en-US" w:eastAsia="zh-CN" w:bidi="ar"/>
              </w:rPr>
              <w:t>数量</w:t>
            </w:r>
          </w:p>
        </w:tc>
        <w:tc>
          <w:tcPr>
            <w:tcW w:w="417" w:type="pct"/>
            <w:vAlign w:val="center"/>
          </w:tcPr>
          <w:p>
            <w:pPr>
              <w:keepNext w:val="0"/>
              <w:keepLines w:val="0"/>
              <w:widowControl/>
              <w:suppressLineNumbers w:val="0"/>
              <w:jc w:val="center"/>
              <w:textAlignment w:val="center"/>
              <w:rPr>
                <w:rFonts w:hint="eastAsia"/>
                <w:vertAlign w:val="baseline"/>
                <w:lang w:val="en-US" w:eastAsia="zh-CN"/>
              </w:rPr>
            </w:pPr>
            <w:r>
              <w:rPr>
                <w:rFonts w:hint="eastAsia" w:ascii="微软雅黑" w:hAnsi="微软雅黑" w:eastAsia="微软雅黑" w:cs="微软雅黑"/>
                <w:b/>
                <w:bCs/>
                <w:i w:val="0"/>
                <w:iCs w:val="0"/>
                <w:color w:val="000000"/>
                <w:kern w:val="0"/>
                <w:sz w:val="24"/>
                <w:szCs w:val="24"/>
                <w:u w:val="none"/>
                <w:lang w:val="en-US" w:eastAsia="zh-CN" w:bidi="ar"/>
              </w:rPr>
              <w:t>单价</w:t>
            </w:r>
          </w:p>
        </w:tc>
        <w:tc>
          <w:tcPr>
            <w:tcW w:w="531" w:type="pct"/>
            <w:vAlign w:val="center"/>
          </w:tcPr>
          <w:p>
            <w:pPr>
              <w:keepNext w:val="0"/>
              <w:keepLines w:val="0"/>
              <w:widowControl/>
              <w:suppressLineNumbers w:val="0"/>
              <w:jc w:val="center"/>
              <w:textAlignment w:val="center"/>
              <w:rPr>
                <w:rFonts w:hint="eastAsia"/>
                <w:vertAlign w:val="baseline"/>
                <w:lang w:val="en-US" w:eastAsia="zh-CN"/>
              </w:rPr>
            </w:pPr>
            <w:r>
              <w:rPr>
                <w:rFonts w:hint="eastAsia" w:ascii="微软雅黑" w:hAnsi="微软雅黑" w:eastAsia="微软雅黑" w:cs="微软雅黑"/>
                <w:b/>
                <w:bCs/>
                <w:i w:val="0"/>
                <w:iCs w:val="0"/>
                <w:color w:val="000000"/>
                <w:kern w:val="0"/>
                <w:sz w:val="24"/>
                <w:szCs w:val="24"/>
                <w:u w:val="none"/>
                <w:lang w:val="en-US" w:eastAsia="zh-CN" w:bidi="ar"/>
              </w:rPr>
              <w:t>限价</w:t>
            </w:r>
          </w:p>
        </w:tc>
        <w:tc>
          <w:tcPr>
            <w:tcW w:w="715" w:type="pct"/>
            <w:vAlign w:val="center"/>
          </w:tcPr>
          <w:p>
            <w:pPr>
              <w:keepNext w:val="0"/>
              <w:keepLines w:val="0"/>
              <w:widowControl/>
              <w:suppressLineNumbers w:val="0"/>
              <w:jc w:val="center"/>
              <w:textAlignment w:val="center"/>
              <w:rPr>
                <w:rFonts w:hint="eastAsia"/>
                <w:vertAlign w:val="baseline"/>
                <w:lang w:val="en-US" w:eastAsia="zh-CN"/>
              </w:rPr>
            </w:pPr>
            <w:r>
              <w:rPr>
                <w:rFonts w:hint="eastAsia" w:ascii="微软雅黑" w:hAnsi="微软雅黑" w:eastAsia="微软雅黑" w:cs="微软雅黑"/>
                <w:b/>
                <w:bCs/>
                <w:i w:val="0"/>
                <w:iCs w:val="0"/>
                <w:color w:val="000000"/>
                <w:kern w:val="0"/>
                <w:sz w:val="24"/>
                <w:szCs w:val="24"/>
                <w:u w:val="none"/>
                <w:lang w:val="en-US" w:eastAsia="zh-CN" w:bidi="ar"/>
              </w:rPr>
              <w:t>供应商报价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restar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w:t>
            </w:r>
          </w:p>
        </w:tc>
        <w:tc>
          <w:tcPr>
            <w:tcW w:w="511" w:type="pct"/>
            <w:vMerge w:val="restar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2024年期刊订阅</w:t>
            </w: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中华内科杂志</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月刊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订购全年共12册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年价480元</w:t>
            </w:r>
          </w:p>
        </w:tc>
        <w:tc>
          <w:tcPr>
            <w:tcW w:w="531" w:type="pct"/>
            <w:vMerge w:val="restar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28878元</w:t>
            </w: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中国实用内科杂志</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月刊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订购全年共12册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年价216元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中华传染病杂志</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月刊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订购全年共12册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年价240元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中华结核和呼吸杂志</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月刊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订购全年共12册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年价600元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中华心血管病杂志</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月刊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订购全年共12册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年价480元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中华血液学杂志</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月刊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订购全年共12册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年价480元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中华消化杂志</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月刊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订购全年共12册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年价300元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中华消化内镜杂志</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月刊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订购全年共12册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年价300元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中华内分泌代谢杂志</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月刊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订购全年共12册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年价456元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中国现代神经疾病杂志</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月刊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订购全年共12册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年价180元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中华神经科杂志</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月刊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订购全年共12册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年价480元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中华肿瘤杂志</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月刊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订购全年共12册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年价360元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中华外科杂志</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月刊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订购全年共12册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年价480元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中华普通外科杂志</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月刊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订购全年共12册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年价360元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中国实用外科杂志</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月刊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订购全年共12册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年价216元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中华泌尿外科杂志</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月刊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订购全年共12册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年价360元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中华肝胆外科杂志</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月刊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订购全年共12册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年价300元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中华胃肠外科杂志</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月刊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订购全年共12册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年价360元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中华神经外科杂志</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月刊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订购全年共12册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年价420元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中华胸心血管外科杂志</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月刊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订购全年共12册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年价300元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中华创伤杂志</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月刊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订购全年共12册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年价360元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中华创伤骨科杂志</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月刊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订购全年共12册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年价360元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中华骨科杂志</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半月刊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订购全年共24册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年价720元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中华手外科杂志</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双月刊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订购全年共6册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年价180元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中华肾脏病杂志</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月刊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订购全年共12册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年价300元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中华麻醉学杂志</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月刊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订购全年共12册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年价420元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中国感染控制杂志</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月刊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订购全年共12册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年价240元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中华妇产科杂志</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月刊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订购全年共12册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年价420元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中华儿科杂志</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月刊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订购全年共12册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年价540元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临床儿科杂志</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月刊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订购全年共12册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年价300元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实用放射学杂志</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月刊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订购全年共12册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年价180元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中华放射学杂志</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月刊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订购全年共12册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年价600元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中华超声影像学杂志</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月刊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订购全年共12册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年价360元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诊断病理学杂志</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月刊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订购全年共12册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年价336元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临床检验杂志</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月刊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订购全年共12册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年价144元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实用疼痛学杂志</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双月刊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订购全年共6册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年价120元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中华皮肤科杂志</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月刊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订购全年共12册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年价360元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中华耳鼻咽喉头颈外科杂志</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月刊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订购全年共12册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年价480元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中华眼科杂志</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月刊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订购全年共12册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年价480元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中华口腔医学杂志</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月刊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订购全年共12册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年价540元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中国数字医学</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月刊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订购全年共12册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年价288元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针灸临床杂志</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月刊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订购全年共12册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年价120元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中华物理医学与康复杂志</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月刊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订购全年共12册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年价360元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中医杂志</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半月刊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订购全年共24册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年价960元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中华临床营养杂志</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双月刊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订购全年共6册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年价120元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中华健康管理学杂志</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双月刊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订购全年共6册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年价420元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中华流行病学杂志</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月刊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订购全年共12册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年价420元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中华老年医学杂志</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月刊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订购全年共12册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年价420元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中华急诊医学杂志</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月刊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订购全年共12册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年价360元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中华医学教育探索杂志</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月刊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订购全年共12册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年价300元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中华护理教育</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月刊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订购全年共12册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年价300元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中华全科医学</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月刊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订购全年共12册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年价180元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中华医学科研管理杂志</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双月刊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订购全年共24册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年价150元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中华糖尿病杂志</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月刊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订购全年共12册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年价420元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中国超声医学杂志</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月刊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订购全年共12册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年价264元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中华精神科杂志</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月刊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订购全年共12册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年价360元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中国神经精神疾病杂志</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半月刊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订购全年共24册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年价216元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心理学报</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半月刊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订购全年共24册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年价540元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心理科学进展</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半月刊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订购全年共24册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年价540元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中国全科医学</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半月刊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订购全年共24册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年价1080元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中华全科医师杂志</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月刊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订购全年共12册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年价480元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中国实用护理杂志</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旬刊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订购全年共36册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年价900元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中国护理管理</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月刊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订购全年共12册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年价312元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中华护理杂志</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月刊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订购全年共12册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年价600元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中华现代护理杂志</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旬刊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订购全年共36册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年价972元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护理研究</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半月刊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订购全年共24册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年价600元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护理学杂志</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半月刊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订购全年共12册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年价480元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现代临床护理</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月刊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订购全年共12册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年价84元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当代护士</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上旬刊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订购全年共12册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年价180元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当代护士</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中旬刊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订购全年共12册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年价180元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当代护士</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下旬刊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订购全年共12册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年价180元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护士进修杂志</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半月刊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订购全年共24册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年价288元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军事护理</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半月刊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订购全年共24册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年价216元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护理学报</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半月刊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订购全年共24册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年价240元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中华急危重症护理杂志</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双月刊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订购全年共6册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年价240元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中国毕业后医学教育</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月刊</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订购全年共12册</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年价300元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restar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2</w:t>
            </w:r>
          </w:p>
        </w:tc>
        <w:tc>
          <w:tcPr>
            <w:tcW w:w="511" w:type="pct"/>
            <w:vMerge w:val="restar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临床科室重点需求图书</w:t>
            </w: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心血管疾病影像图谱</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人民卫生出版社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302.1元</w:t>
            </w:r>
          </w:p>
        </w:tc>
        <w:tc>
          <w:tcPr>
            <w:tcW w:w="531" w:type="pct"/>
            <w:vMerge w:val="restar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15999.73元</w:t>
            </w: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wiesel骨科手术学 手腕肘外科 分册（第二版）</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上海科学技术出版社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678.3元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脊柱内镜诊疗技术</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人卫出版社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235.6元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多发伤病例精选</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人民卫生出版社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303.05元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人工髋关节翻修临床实践与思考</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人民卫生出版社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134.3元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皮瓣切取入路图解</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上海科学技术出版社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168.3元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骨科临床护理思维与实践</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人卫出版社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83.3元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心血管内科新医师手册（第四版）</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化学工业出版社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74.8元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关节镜手术解剖图谱</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山东科学技术出版社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127.5元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社区营养与健康（基层卫生培训十三五规划教材）</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人民卫生出版社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46.55元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人体解剖彩色图谱 第3三版</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人民卫生出版社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83.6元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基层合理用药与管理/王育琴/基层卫生培训十三五 规划教材</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人民卫生出版社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83.6元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实用儿童保健学</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吉林科学技术出版社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55.25元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全科医学案例解析</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人民卫生出版社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49.3元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睡眠障碍病例集</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北京大学医学出版社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45.6元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精神科合理用药手册</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江苏凤凰科学技术出版社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41.65元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社区中医适宜技术</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中国中医药出版社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74.1元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日间手术管理</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人民卫生出版社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132.05元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医疗质量持续改进案例集</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科学技术文献出版社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159.6元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全膝关节置换术</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辽宁科学技术出版社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160.65元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全科医学科诊疗常规-临床医疗护理常规-2012年版</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中国医药科技出版社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140.25元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图解膝关节置换手术操作与技巧</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科学出版社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219.3元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骨科手术入路图解</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上海科学技术出版社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210.8元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DRGs疾病与手术操作编码和报告指南</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山西科学技术出版社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189.05元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奈特人体解剖学彩色图谱 第8版</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人民卫生出版社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311.6元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皮瓣外科学 第3版</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上海科学技术出版社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338.3元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社区精神卫生</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人民卫生出版社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49.4元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全科医生科研方法-第2版</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人民卫生出版社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55.1元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社区康复适宜技术</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人民卫生出版社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64.6元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基层实践基地教学管理</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人民卫生出版社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29.75元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常见慢性疾病社区临床路径</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人民卫生出版社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57元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社区养老服务指导</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人民卫生出版社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45.6元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社区卫生信息化应用与管理</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人民卫生出版社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33.25元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全科医生基层实践</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人民卫生出版社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31.45元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临床急救医学</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上海科学技术出版社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102.6元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社区预防</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人民卫生出版社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40.8元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全科医学师资培训指导用书-第2版</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人民卫生出版社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41.65元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骨科常用护理与康复技术</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化学工业出版社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57.8元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实用关节镜手术学</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人卫出版社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297.5元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医疗保障基金结算清单应用指南</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人民卫生出版社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186.15元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康复治疗指南</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人民卫生出版社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87.4元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不安腿综合征(第2版)</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科学出版社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108.8元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心血管介入治疗高级培训教程</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人民卫生出版社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93.1元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陈新谦新编药物学（第18版）</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人民卫生出版社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188.1元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老年睡眠医学</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科学出版社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117.3元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社区重症识别与紧急处理</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人民卫生出版社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34.2元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认知疗法：进阶与挑战</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中国轻工业出版社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53.2元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袖珍实用全科医生手册（第二版）</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中国医药科技出版社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33.15元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睡眠技术规范化培训教程</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人民卫生出版社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56.05元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镇静催眠药临床使用指南</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人民卫生出版社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21.25元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WIESEL骨科手术学-脊柱外科</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上海科学技术出版社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278.8元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WIESEL骨科手术学-创伤外科</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上海科学技术出版社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363.8元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WIESEL骨科手术学-骨肿瘤外科</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上海科学技术出版社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338.3元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WIESEL骨科手术学-肩肘外科</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上海科学技术出版社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397.8元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WIESEL骨科手术学-关节重建外科</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上海科学技术出版社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278.8元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WIESEL骨科手术学-运动医学</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上海科学技术出版社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508.3元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WIESEL骨科手术学-足踝外科</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上海科学技术出版社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593.3元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WIESEL骨科手术学-小儿骨科</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上海科学技术出版社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678.3元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Python编程快速上手 让繁琐工作自动化(第2版)</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人民邮电出版社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75.65元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临床诊疗案例分析丛书:麻醉学临床诊疗案例分析</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天津科学技术出版社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119元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护理科研及论文写作指导</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辽宁科学技术出版社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49.3元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介入心脏病学：从理论到实践</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中国科学技术出版社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423.3元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Gregory 儿科麻醉学(第6版)</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中国科学技术出版社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508.3元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外周神经阻滞与超声介入解剖(第3版)</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北京大学医学出版社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442元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全膝关节翻修术：诊断、评估与治疗</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北京大学医学出版社有限公司</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153元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护理一本通丛书：护理科研与论文写作一本通</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中国医药科技出版社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38.25元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运动医学下肢</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辽宁科学技术出版社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339.15元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Python编程 从入门到实践(第3版)</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人民邮电出版社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93.33元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麻醉护理工作手册</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北京大学医学出版社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72.25元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实用内科学第16版</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人民卫生出版社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508.3元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问题导向易学“医”用-医院运用PDCA  持续改进案例集</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科学技术文献出版社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217.6元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麻醉专业住院医师规范化培训教学查房</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科学技术文献出版社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57.8元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SPSS软件应用与实践</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北京大学医学出版社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49.3元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经食管超声心动图实用技术(第3版)</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北京科学技术出版社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355.3元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成人心脏外科学(第5版)</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人民卫生出版社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508.3元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冠状动脉造影读片技巧图解：正常及异常造影</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北京科学技术出版社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127.5元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Hensley 心胸麻醉学(第6版)</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中国科学技术出版社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253.3元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护理不良事件与案例分析</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中国医药科技出版社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50.15元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住院医师规范化培训全科医学科示范案例</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上海交通大学出版社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159.8元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麻醉科常见急危重症抢救流程与解析</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科学出版社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108.8元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手术室医疗设备管理与使用</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科学出版社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108.8元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中华护理学会专科护士培训教材·手术室专科护理</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人民卫生出版社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67.15元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围术期会诊手册(第3版)</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北京大学医学出版社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72.25元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护理论文写作大全</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人民卫生出版社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52.7元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痴呆及认知障碍神经心理测量量表手册第二版</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科学出版社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85元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循序渐进用好血管内超声安全地通过血管内超声</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天津科技翻译出版有限公司</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159.8元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医学科研题设计、申报与实施(第3版)</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人民卫生出版社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75.65元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pPr>
              <w:jc w:val="center"/>
              <w:rPr>
                <w:rFonts w:hint="eastAsia"/>
                <w:sz w:val="21"/>
                <w:szCs w:val="21"/>
                <w:vertAlign w:val="baseline"/>
                <w:lang w:val="en-US" w:eastAsia="zh-CN"/>
              </w:rPr>
            </w:pPr>
          </w:p>
        </w:tc>
        <w:tc>
          <w:tcPr>
            <w:tcW w:w="511" w:type="pct"/>
            <w:vMerge w:val="continue"/>
            <w:vAlign w:val="center"/>
          </w:tcPr>
          <w:p>
            <w:pPr>
              <w:jc w:val="center"/>
              <w:rPr>
                <w:rFonts w:hint="eastAsia"/>
                <w:sz w:val="21"/>
                <w:szCs w:val="21"/>
                <w:vertAlign w:val="baseline"/>
                <w:lang w:val="en-US" w:eastAsia="zh-CN"/>
              </w:rPr>
            </w:pPr>
          </w:p>
        </w:tc>
        <w:tc>
          <w:tcPr>
            <w:tcW w:w="989" w:type="pct"/>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诸福棠实用儿科学(上下册)第9版</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sz w:val="21"/>
                <w:szCs w:val="21"/>
              </w:rPr>
            </w:pPr>
            <w:r>
              <w:rPr>
                <w:rFonts w:hint="eastAsia" w:ascii="微软雅黑" w:hAnsi="微软雅黑" w:eastAsia="微软雅黑" w:cs="微软雅黑"/>
                <w:i w:val="0"/>
                <w:iCs w:val="0"/>
                <w:color w:val="000000"/>
                <w:kern w:val="0"/>
                <w:sz w:val="21"/>
                <w:szCs w:val="21"/>
                <w:u w:val="none"/>
                <w:lang w:val="en-US" w:eastAsia="zh-CN" w:bidi="ar"/>
              </w:rPr>
              <w:t>人民卫生出版社</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1本</w:t>
            </w:r>
          </w:p>
        </w:tc>
        <w:tc>
          <w:tcPr>
            <w:tcW w:w="417" w:type="pc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474.3元</w:t>
            </w:r>
          </w:p>
        </w:tc>
        <w:tc>
          <w:tcPr>
            <w:tcW w:w="531" w:type="pct"/>
            <w:vMerge w:val="continue"/>
            <w:vAlign w:val="center"/>
          </w:tcPr>
          <w:p>
            <w:pPr>
              <w:jc w:val="center"/>
              <w:rPr>
                <w:rFonts w:hint="eastAsia"/>
                <w:sz w:val="21"/>
                <w:szCs w:val="21"/>
                <w:vertAlign w:val="baseline"/>
                <w:lang w:val="en-US" w:eastAsia="zh-CN"/>
              </w:rPr>
            </w:pPr>
          </w:p>
        </w:tc>
        <w:tc>
          <w:tcPr>
            <w:tcW w:w="715" w:type="pct"/>
            <w:vAlign w:val="center"/>
          </w:tcPr>
          <w:p>
            <w:pPr>
              <w:jc w:val="cente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vAlign w:val="center"/>
          </w:tcPr>
          <w:p>
            <w:pPr>
              <w:jc w:val="left"/>
              <w:rPr>
                <w:rFonts w:hint="eastAsia"/>
                <w:sz w:val="21"/>
                <w:szCs w:val="21"/>
                <w:vertAlign w:val="baseline"/>
                <w:lang w:val="en-US" w:eastAsia="zh-CN"/>
              </w:rPr>
            </w:pPr>
            <w:r>
              <w:rPr>
                <w:rFonts w:hint="eastAsia"/>
                <w:sz w:val="21"/>
                <w:szCs w:val="21"/>
                <w:vertAlign w:val="baseline"/>
                <w:lang w:val="en-US" w:eastAsia="zh-CN"/>
              </w:rPr>
              <w:t>商务部分：（须完全响应）</w:t>
            </w:r>
          </w:p>
          <w:p>
            <w:pPr>
              <w:jc w:val="left"/>
              <w:rPr>
                <w:rFonts w:hint="eastAsia"/>
                <w:sz w:val="21"/>
                <w:szCs w:val="21"/>
                <w:vertAlign w:val="baseline"/>
                <w:lang w:val="en-US" w:eastAsia="zh-CN"/>
              </w:rPr>
            </w:pPr>
            <w:r>
              <w:rPr>
                <w:rFonts w:hint="eastAsia"/>
                <w:sz w:val="21"/>
                <w:szCs w:val="21"/>
                <w:vertAlign w:val="baseline"/>
                <w:lang w:val="en-US" w:eastAsia="zh-CN"/>
              </w:rPr>
              <w:t>（一）时间及地点要求</w:t>
            </w:r>
          </w:p>
          <w:p>
            <w:pPr>
              <w:jc w:val="left"/>
              <w:rPr>
                <w:rFonts w:hint="eastAsia"/>
                <w:sz w:val="21"/>
                <w:szCs w:val="21"/>
                <w:vertAlign w:val="baseline"/>
                <w:lang w:val="en-US" w:eastAsia="zh-CN"/>
              </w:rPr>
            </w:pPr>
            <w:r>
              <w:rPr>
                <w:rFonts w:hint="eastAsia"/>
                <w:sz w:val="21"/>
                <w:szCs w:val="21"/>
                <w:vertAlign w:val="baseline"/>
                <w:lang w:val="en-US" w:eastAsia="zh-CN"/>
              </w:rPr>
              <w:t>1.交付期限：期刊于合同签订后，根据期刊性质按半月/旬/月等发货；图书于合同签订后10个工作日内完成发货。</w:t>
            </w:r>
          </w:p>
          <w:p>
            <w:pPr>
              <w:jc w:val="left"/>
              <w:rPr>
                <w:rFonts w:hint="eastAsia"/>
                <w:sz w:val="21"/>
                <w:szCs w:val="21"/>
                <w:vertAlign w:val="baseline"/>
                <w:lang w:val="en-US" w:eastAsia="zh-CN"/>
              </w:rPr>
            </w:pPr>
            <w:r>
              <w:rPr>
                <w:rFonts w:hint="eastAsia"/>
                <w:sz w:val="21"/>
                <w:szCs w:val="21"/>
                <w:vertAlign w:val="baseline"/>
                <w:lang w:val="en-US" w:eastAsia="zh-CN"/>
              </w:rPr>
              <w:t xml:space="preserve">2.交货地点：重庆市璧山区人民医院指定地点。 </w:t>
            </w:r>
          </w:p>
          <w:p>
            <w:pPr>
              <w:jc w:val="left"/>
              <w:rPr>
                <w:rFonts w:hint="eastAsia"/>
                <w:sz w:val="21"/>
                <w:szCs w:val="21"/>
                <w:vertAlign w:val="baseline"/>
                <w:lang w:val="en-US" w:eastAsia="zh-CN"/>
              </w:rPr>
            </w:pPr>
            <w:r>
              <w:rPr>
                <w:rFonts w:hint="eastAsia"/>
                <w:sz w:val="21"/>
                <w:szCs w:val="21"/>
                <w:vertAlign w:val="baseline"/>
                <w:lang w:val="en-US" w:eastAsia="zh-CN"/>
              </w:rPr>
              <w:t>（二）付款方式</w:t>
            </w:r>
          </w:p>
          <w:p>
            <w:pPr>
              <w:jc w:val="left"/>
              <w:rPr>
                <w:rFonts w:hint="eastAsia"/>
                <w:sz w:val="21"/>
                <w:szCs w:val="21"/>
                <w:vertAlign w:val="baseline"/>
                <w:lang w:val="en-US" w:eastAsia="zh-CN"/>
              </w:rPr>
            </w:pPr>
            <w:bookmarkStart w:id="0" w:name="_Toc267320052"/>
            <w:r>
              <w:rPr>
                <w:rFonts w:hint="eastAsia"/>
                <w:sz w:val="21"/>
                <w:szCs w:val="21"/>
                <w:vertAlign w:val="baseline"/>
                <w:lang w:val="en-US" w:eastAsia="zh-CN"/>
              </w:rPr>
              <w:t>全额付款：合同签订后，采购人全额支付合同金额。付款时，供应商需提供发票、验收记录，未及时提供的采购人有权拒付。</w:t>
            </w:r>
          </w:p>
          <w:p>
            <w:pPr>
              <w:jc w:val="left"/>
              <w:rPr>
                <w:rFonts w:hint="eastAsia"/>
                <w:sz w:val="21"/>
                <w:szCs w:val="21"/>
                <w:vertAlign w:val="baseline"/>
                <w:lang w:val="en-US" w:eastAsia="zh-CN"/>
              </w:rPr>
            </w:pPr>
            <w:r>
              <w:rPr>
                <w:rFonts w:hint="eastAsia"/>
                <w:sz w:val="21"/>
                <w:szCs w:val="21"/>
                <w:vertAlign w:val="baseline"/>
                <w:lang w:val="en-US" w:eastAsia="zh-CN"/>
              </w:rPr>
              <w:t>（三）合同签订</w:t>
            </w:r>
          </w:p>
          <w:p>
            <w:pPr>
              <w:jc w:val="left"/>
              <w:rPr>
                <w:rFonts w:hint="eastAsia"/>
                <w:sz w:val="21"/>
                <w:szCs w:val="21"/>
                <w:vertAlign w:val="baseline"/>
                <w:lang w:val="en-US" w:eastAsia="zh-CN"/>
              </w:rPr>
            </w:pPr>
            <w:r>
              <w:rPr>
                <w:rFonts w:hint="eastAsia"/>
                <w:sz w:val="21"/>
                <w:szCs w:val="21"/>
                <w:vertAlign w:val="baseline"/>
                <w:lang w:val="en-US" w:eastAsia="zh-CN"/>
              </w:rPr>
              <w:t>成交供应商在接到成交通知后20日内与采购人签订合同；</w:t>
            </w:r>
            <w:bookmarkEnd w:id="0"/>
          </w:p>
          <w:p>
            <w:pPr>
              <w:jc w:val="left"/>
              <w:rPr>
                <w:rFonts w:hint="eastAsia"/>
                <w:sz w:val="21"/>
                <w:szCs w:val="21"/>
                <w:vertAlign w:val="baseline"/>
                <w:lang w:val="en-US" w:eastAsia="zh-CN"/>
              </w:rPr>
            </w:pPr>
            <w:r>
              <w:rPr>
                <w:rFonts w:hint="eastAsia"/>
                <w:sz w:val="21"/>
                <w:szCs w:val="21"/>
                <w:vertAlign w:val="baseline"/>
                <w:lang w:val="en-US" w:eastAsia="zh-CN"/>
              </w:rPr>
              <w:t>（四）验收</w:t>
            </w:r>
          </w:p>
          <w:p>
            <w:pPr>
              <w:jc w:val="left"/>
              <w:rPr>
                <w:rFonts w:hint="eastAsia"/>
                <w:sz w:val="21"/>
                <w:szCs w:val="21"/>
                <w:vertAlign w:val="baseline"/>
                <w:lang w:val="en-US" w:eastAsia="zh-CN"/>
              </w:rPr>
            </w:pPr>
            <w:r>
              <w:rPr>
                <w:rFonts w:hint="eastAsia"/>
                <w:sz w:val="21"/>
                <w:szCs w:val="21"/>
                <w:vertAlign w:val="baseline"/>
                <w:lang w:val="en-US" w:eastAsia="zh-CN"/>
              </w:rPr>
              <w:t>1.成交供应商将图书、期刊免费送到采购人指定地点；图书由经采购人当场开箱、清点、检查外观以及内容、编校、设计、印刷等进行开箱验收，签字确认。</w:t>
            </w:r>
          </w:p>
          <w:p>
            <w:pPr>
              <w:jc w:val="left"/>
              <w:rPr>
                <w:rFonts w:hint="eastAsia"/>
                <w:sz w:val="21"/>
                <w:szCs w:val="21"/>
                <w:vertAlign w:val="baseline"/>
                <w:lang w:val="en-US" w:eastAsia="zh-CN"/>
              </w:rPr>
            </w:pPr>
            <w:r>
              <w:rPr>
                <w:rFonts w:hint="eastAsia"/>
                <w:sz w:val="21"/>
                <w:szCs w:val="21"/>
                <w:vertAlign w:val="baseline"/>
                <w:lang w:val="en-US" w:eastAsia="zh-CN"/>
              </w:rPr>
              <w:t>2.供应商应保证图书、期刊到达采购人所在地时完好无损，如有缺漏、损坏及其他产品质量问题，由供应商负责调换、补齐或赔偿。</w:t>
            </w:r>
          </w:p>
          <w:p>
            <w:pPr>
              <w:jc w:val="left"/>
              <w:rPr>
                <w:rFonts w:hint="eastAsia"/>
                <w:sz w:val="21"/>
                <w:szCs w:val="21"/>
                <w:vertAlign w:val="baseline"/>
                <w:lang w:val="en-US" w:eastAsia="zh-CN"/>
              </w:rPr>
            </w:pPr>
            <w:r>
              <w:rPr>
                <w:rFonts w:hint="eastAsia"/>
                <w:sz w:val="21"/>
                <w:szCs w:val="21"/>
                <w:vertAlign w:val="baseline"/>
                <w:lang w:val="en-US" w:eastAsia="zh-CN"/>
              </w:rPr>
              <w:t>（六）质量保证及售后服务</w:t>
            </w:r>
          </w:p>
          <w:p>
            <w:pPr>
              <w:jc w:val="left"/>
              <w:rPr>
                <w:rFonts w:hint="eastAsia"/>
                <w:sz w:val="21"/>
                <w:szCs w:val="21"/>
                <w:vertAlign w:val="baseline"/>
                <w:lang w:val="en-US" w:eastAsia="zh-CN"/>
              </w:rPr>
            </w:pPr>
            <w:r>
              <w:rPr>
                <w:rFonts w:hint="eastAsia"/>
                <w:sz w:val="21"/>
                <w:szCs w:val="21"/>
                <w:vertAlign w:val="baseline"/>
                <w:lang w:val="en-US" w:eastAsia="zh-CN"/>
              </w:rPr>
              <w:t>1.质量保证</w:t>
            </w:r>
          </w:p>
          <w:p>
            <w:pPr>
              <w:jc w:val="left"/>
              <w:rPr>
                <w:rFonts w:hint="eastAsia"/>
                <w:sz w:val="21"/>
                <w:szCs w:val="21"/>
                <w:vertAlign w:val="baseline"/>
                <w:lang w:val="en-US" w:eastAsia="zh-CN"/>
              </w:rPr>
            </w:pPr>
            <w:r>
              <w:rPr>
                <w:rFonts w:hint="eastAsia"/>
                <w:sz w:val="21"/>
                <w:szCs w:val="21"/>
                <w:vertAlign w:val="baseline"/>
                <w:lang w:val="en-US" w:eastAsia="zh-CN"/>
              </w:rPr>
              <w:t>1.1采购货物属于国家规定“三包”范围的，其产品质量保证期不得低于“三包”规定。</w:t>
            </w:r>
          </w:p>
          <w:p>
            <w:pPr>
              <w:jc w:val="left"/>
              <w:rPr>
                <w:rFonts w:hint="eastAsia"/>
                <w:sz w:val="21"/>
                <w:szCs w:val="21"/>
                <w:vertAlign w:val="baseline"/>
                <w:lang w:val="en-US" w:eastAsia="zh-CN"/>
              </w:rPr>
            </w:pPr>
            <w:r>
              <w:rPr>
                <w:rFonts w:hint="eastAsia"/>
                <w:sz w:val="21"/>
                <w:szCs w:val="21"/>
                <w:vertAlign w:val="baseline"/>
                <w:lang w:val="en-US" w:eastAsia="zh-CN"/>
              </w:rPr>
              <w:t>1.2供应商的质量保证期承诺优于国家“三包”规定的，按供应商实际承诺执行。</w:t>
            </w:r>
          </w:p>
          <w:p>
            <w:pPr>
              <w:jc w:val="left"/>
              <w:rPr>
                <w:rFonts w:hint="eastAsia"/>
                <w:sz w:val="21"/>
                <w:szCs w:val="21"/>
                <w:vertAlign w:val="baseline"/>
                <w:lang w:val="en-US" w:eastAsia="zh-CN"/>
              </w:rPr>
            </w:pPr>
            <w:r>
              <w:rPr>
                <w:rFonts w:hint="eastAsia"/>
                <w:sz w:val="21"/>
                <w:szCs w:val="21"/>
                <w:vertAlign w:val="baseline"/>
                <w:lang w:val="en-US" w:eastAsia="zh-CN"/>
              </w:rPr>
              <w:t>1.3采购货物由产品制造商负责标准售后服务，应当在响应文件中予以明确说明，并提供相关文件。</w:t>
            </w:r>
          </w:p>
          <w:p>
            <w:pPr>
              <w:jc w:val="left"/>
              <w:rPr>
                <w:rFonts w:hint="eastAsia"/>
                <w:sz w:val="21"/>
                <w:szCs w:val="21"/>
                <w:vertAlign w:val="baseline"/>
                <w:lang w:val="en-US" w:eastAsia="zh-CN"/>
              </w:rPr>
            </w:pPr>
            <w:r>
              <w:rPr>
                <w:rFonts w:hint="eastAsia"/>
                <w:sz w:val="21"/>
                <w:szCs w:val="21"/>
                <w:vertAlign w:val="baseline"/>
                <w:lang w:val="en-US" w:eastAsia="zh-CN"/>
              </w:rPr>
              <w:t>2.售后服务</w:t>
            </w:r>
          </w:p>
          <w:p>
            <w:pPr>
              <w:jc w:val="left"/>
              <w:rPr>
                <w:rFonts w:hint="eastAsia"/>
                <w:sz w:val="21"/>
                <w:szCs w:val="21"/>
                <w:vertAlign w:val="baseline"/>
                <w:lang w:val="en-US" w:eastAsia="zh-CN"/>
              </w:rPr>
            </w:pPr>
            <w:r>
              <w:rPr>
                <w:rFonts w:hint="eastAsia"/>
                <w:sz w:val="21"/>
                <w:szCs w:val="21"/>
                <w:vertAlign w:val="baseline"/>
                <w:lang w:val="en-US" w:eastAsia="zh-CN"/>
              </w:rPr>
              <w:t>质保期内，成交供应商应按国家和行业要求提供相关售后服务。</w:t>
            </w:r>
          </w:p>
          <w:p>
            <w:pPr>
              <w:jc w:val="left"/>
              <w:rPr>
                <w:rFonts w:hint="eastAsia"/>
                <w:sz w:val="21"/>
                <w:szCs w:val="21"/>
                <w:vertAlign w:val="baseline"/>
                <w:lang w:val="en-US" w:eastAsia="zh-CN"/>
              </w:rPr>
            </w:pPr>
            <w:r>
              <w:rPr>
                <w:rFonts w:hint="eastAsia"/>
                <w:sz w:val="21"/>
                <w:szCs w:val="21"/>
                <w:vertAlign w:val="baseline"/>
                <w:lang w:val="en-US" w:eastAsia="zh-CN"/>
              </w:rPr>
              <w:t>（七）履约保证金</w:t>
            </w:r>
          </w:p>
          <w:p>
            <w:pPr>
              <w:jc w:val="left"/>
              <w:rPr>
                <w:rFonts w:hint="eastAsia"/>
                <w:sz w:val="21"/>
                <w:szCs w:val="21"/>
                <w:vertAlign w:val="baseline"/>
                <w:lang w:val="en-US" w:eastAsia="zh-CN"/>
              </w:rPr>
            </w:pPr>
            <w:r>
              <w:rPr>
                <w:rFonts w:hint="eastAsia"/>
                <w:sz w:val="21"/>
                <w:szCs w:val="21"/>
                <w:vertAlign w:val="baseline"/>
                <w:lang w:val="en-US" w:eastAsia="zh-CN"/>
              </w:rPr>
              <w:t>无</w:t>
            </w:r>
          </w:p>
          <w:p>
            <w:pPr>
              <w:jc w:val="left"/>
              <w:rPr>
                <w:rFonts w:hint="eastAsia"/>
                <w:sz w:val="21"/>
                <w:szCs w:val="21"/>
                <w:vertAlign w:val="baseline"/>
                <w:lang w:val="en-US" w:eastAsia="zh-CN"/>
              </w:rPr>
            </w:pPr>
            <w:r>
              <w:rPr>
                <w:rFonts w:hint="eastAsia"/>
                <w:sz w:val="21"/>
                <w:szCs w:val="21"/>
                <w:vertAlign w:val="baseline"/>
                <w:lang w:val="en-US" w:eastAsia="zh-CN"/>
              </w:rPr>
              <w:t>（八）</w:t>
            </w:r>
            <w:bookmarkStart w:id="1" w:name="_Toc3955"/>
            <w:r>
              <w:rPr>
                <w:rFonts w:hint="eastAsia"/>
                <w:sz w:val="21"/>
                <w:szCs w:val="21"/>
                <w:vertAlign w:val="baseline"/>
                <w:lang w:val="en-US" w:eastAsia="zh-CN"/>
              </w:rPr>
              <w:t>踏勘</w:t>
            </w:r>
            <w:bookmarkEnd w:id="1"/>
            <w:r>
              <w:rPr>
                <w:rFonts w:hint="eastAsia"/>
                <w:sz w:val="21"/>
                <w:szCs w:val="21"/>
                <w:vertAlign w:val="baseline"/>
                <w:lang w:val="en-US" w:eastAsia="zh-CN"/>
              </w:rPr>
              <w:t>现场</w:t>
            </w:r>
          </w:p>
          <w:p>
            <w:pPr>
              <w:jc w:val="left"/>
              <w:rPr>
                <w:rFonts w:hint="eastAsia"/>
                <w:sz w:val="21"/>
                <w:szCs w:val="21"/>
                <w:vertAlign w:val="baseline"/>
                <w:lang w:val="en-US" w:eastAsia="zh-CN"/>
              </w:rPr>
            </w:pPr>
            <w:r>
              <w:rPr>
                <w:rFonts w:hint="eastAsia"/>
                <w:sz w:val="21"/>
                <w:szCs w:val="21"/>
                <w:vertAlign w:val="baseline"/>
                <w:lang w:val="en-US" w:eastAsia="zh-CN"/>
              </w:rPr>
              <w:t>供应商自行组织踏勘现场，现场踏勘应充分了解项目位置、运行情况、周边环境、装卸限制及任何其他足以影响磋商报价的情况，任何因忽视或误解项目情况而导致的服务不达标或服务期延长的，供应商自行承担相关责任。踏勘现场时发生的安全责任事故由供应商自行承担责任，项目实施时不得影响周边居民的正常生活。</w:t>
            </w:r>
          </w:p>
          <w:p>
            <w:pPr>
              <w:jc w:val="left"/>
              <w:rPr>
                <w:rFonts w:hint="eastAsia"/>
                <w:sz w:val="21"/>
                <w:szCs w:val="21"/>
                <w:vertAlign w:val="baseline"/>
                <w:lang w:val="en-US" w:eastAsia="zh-CN"/>
              </w:rPr>
            </w:pPr>
            <w:r>
              <w:rPr>
                <w:rFonts w:hint="eastAsia"/>
                <w:sz w:val="21"/>
                <w:szCs w:val="21"/>
                <w:vertAlign w:val="baseline"/>
                <w:lang w:val="en-US" w:eastAsia="zh-CN"/>
              </w:rPr>
              <w:t>（九）违约责任：中标供应商未在约定期限完成交付验收，延迟交付每日支付千分之三的违约金，超过30日未能交付，采购人有权解除合同；验收不合格或使用中发现产品质量缺陷，采购人有权要求供应商整改，整改期限为10日，整改期限届满仍未完成的供应商每日支付千分之三的违约金，超过20日未能完成整改，采购人有权解除合同；因不能按期交付或整改期限届满导致采购人解除合同，以及供应商明确表示终止合同，供应商需承担合同总金额30%的违约金，并承担对采购人造成的损失；所投产品须为正规合格产品，后期发现或鉴定为假冒伪劣产品供应商应承担拆除重建及墙面修补的所有费用。</w:t>
            </w:r>
          </w:p>
          <w:p>
            <w:pPr>
              <w:jc w:val="left"/>
              <w:rPr>
                <w:rFonts w:hint="eastAsia"/>
                <w:sz w:val="21"/>
                <w:szCs w:val="21"/>
                <w:vertAlign w:val="baseline"/>
                <w:lang w:val="en-US" w:eastAsia="zh-CN"/>
              </w:rPr>
            </w:pPr>
            <w:r>
              <w:rPr>
                <w:rFonts w:hint="eastAsia"/>
                <w:sz w:val="21"/>
                <w:szCs w:val="21"/>
                <w:vertAlign w:val="baseline"/>
                <w:lang w:val="en-US" w:eastAsia="zh-CN"/>
              </w:rPr>
              <w:t>（十）其他要求：1.本次采购过程中如果产生专家评审费将由成交供应商承担；2.中标后需20日内签订采购合同和购销廉政协议，成交供应商拒绝签订或履行采购合同，纳入采购人黑名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default" w:ascii="Times New Roman" w:hAnsi="Times New Roman" w:eastAsia="微软雅黑" w:cs="Times New Roman"/>
                <w:i w:val="0"/>
                <w:caps w:val="0"/>
                <w:color w:val="555555"/>
                <w:spacing w:val="0"/>
                <w:kern w:val="0"/>
                <w:sz w:val="21"/>
                <w:szCs w:val="21"/>
                <w:lang w:val="en-US" w:eastAsia="zh-CN" w:bidi="ar"/>
              </w:rPr>
            </w:pPr>
            <w:r>
              <w:rPr>
                <w:rFonts w:hint="eastAsia" w:ascii="Times New Roman" w:hAnsi="Times New Roman" w:eastAsia="微软雅黑" w:cs="Times New Roman"/>
                <w:i w:val="0"/>
                <w:caps w:val="0"/>
                <w:color w:val="555555"/>
                <w:spacing w:val="0"/>
                <w:kern w:val="0"/>
                <w:sz w:val="21"/>
                <w:szCs w:val="21"/>
                <w:lang w:val="en-US" w:eastAsia="zh-CN" w:bidi="ar"/>
              </w:rPr>
              <w:t xml:space="preserve">供应商名称（盖章）：               </w:t>
            </w:r>
          </w:p>
          <w:p>
            <w:pPr>
              <w:jc w:val="left"/>
              <w:rPr>
                <w:rFonts w:hint="eastAsia"/>
                <w:sz w:val="21"/>
                <w:szCs w:val="21"/>
                <w:vertAlign w:val="baseline"/>
                <w:lang w:val="en-US" w:eastAsia="zh-CN"/>
              </w:rPr>
            </w:pPr>
            <w:r>
              <w:rPr>
                <w:rFonts w:hint="eastAsia" w:ascii="Times New Roman" w:hAnsi="Times New Roman" w:eastAsia="微软雅黑" w:cs="Times New Roman"/>
                <w:i w:val="0"/>
                <w:caps w:val="0"/>
                <w:color w:val="555555"/>
                <w:spacing w:val="0"/>
                <w:kern w:val="0"/>
                <w:sz w:val="21"/>
                <w:szCs w:val="21"/>
                <w:lang w:val="en-US" w:eastAsia="zh-CN" w:bidi="ar"/>
              </w:rPr>
              <w:t xml:space="preserve">                                                                 日期：               </w:t>
            </w:r>
          </w:p>
        </w:tc>
      </w:tr>
    </w:tbl>
    <w:p>
      <w:pPr>
        <w:numPr>
          <w:ilvl w:val="0"/>
          <w:numId w:val="0"/>
        </w:numPr>
        <w:wordWrap w:val="0"/>
        <w:spacing w:line="440" w:lineRule="exact"/>
        <w:ind w:firstLine="562" w:firstLineChars="200"/>
        <w:rPr>
          <w:rFonts w:hint="default" w:ascii="方正仿宋_GBK" w:hAnsi="方正仿宋_GBK" w:eastAsia="方正仿宋_GBK" w:cs="方正仿宋_GBK"/>
          <w:color w:val="auto"/>
          <w:sz w:val="28"/>
          <w:szCs w:val="28"/>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仿宋" w:hAnsi="仿宋" w:eastAsia="仿宋" w:cs="仿宋"/>
          <w:b/>
          <w:bCs/>
          <w:color w:val="auto"/>
          <w:sz w:val="28"/>
          <w:szCs w:val="21"/>
          <w:lang w:val="en-US" w:eastAsia="zh-CN"/>
        </w:rPr>
        <w:t>其他要求：1.</w:t>
      </w:r>
      <w:r>
        <w:rPr>
          <w:rFonts w:hint="eastAsia" w:ascii="方正仿宋_GBK" w:hAnsi="方正仿宋_GBK" w:eastAsia="方正仿宋_GBK" w:cs="方正仿宋_GBK"/>
          <w:color w:val="auto"/>
          <w:sz w:val="28"/>
          <w:szCs w:val="28"/>
          <w:highlight w:val="none"/>
        </w:rPr>
        <w:t>本次报价为人民币</w:t>
      </w:r>
      <w:r>
        <w:rPr>
          <w:rFonts w:hint="eastAsia" w:ascii="方正仿宋_GBK" w:hAnsi="方正仿宋_GBK" w:eastAsia="方正仿宋_GBK" w:cs="方正仿宋_GBK"/>
          <w:color w:val="auto"/>
          <w:sz w:val="28"/>
          <w:szCs w:val="28"/>
          <w:highlight w:val="none"/>
          <w:lang w:val="en-US" w:eastAsia="zh-CN"/>
        </w:rPr>
        <w:t>包干</w:t>
      </w:r>
      <w:r>
        <w:rPr>
          <w:rFonts w:hint="eastAsia" w:ascii="方正仿宋_GBK" w:hAnsi="方正仿宋_GBK" w:eastAsia="方正仿宋_GBK" w:cs="方正仿宋_GBK"/>
          <w:color w:val="auto"/>
          <w:sz w:val="28"/>
          <w:szCs w:val="28"/>
          <w:highlight w:val="none"/>
        </w:rPr>
        <w:t>价，包含</w:t>
      </w:r>
      <w:r>
        <w:rPr>
          <w:rFonts w:hint="eastAsia" w:ascii="方正仿宋_GBK" w:hAnsi="方正仿宋_GBK" w:eastAsia="方正仿宋_GBK" w:cs="方正仿宋_GBK"/>
          <w:color w:val="auto"/>
          <w:sz w:val="28"/>
          <w:szCs w:val="28"/>
          <w:highlight w:val="none"/>
          <w:lang w:eastAsia="zh-CN"/>
        </w:rPr>
        <w:t>产品及运送费用</w:t>
      </w:r>
      <w:r>
        <w:rPr>
          <w:rFonts w:hint="eastAsia" w:ascii="方正仿宋_GBK" w:hAnsi="方正仿宋_GBK" w:eastAsia="方正仿宋_GBK" w:cs="方正仿宋_GBK"/>
          <w:color w:val="auto"/>
          <w:sz w:val="28"/>
          <w:szCs w:val="28"/>
          <w:highlight w:val="none"/>
          <w:lang w:val="en-US" w:eastAsia="zh-CN"/>
        </w:rPr>
        <w:t>等完成本</w:t>
      </w:r>
      <w:r>
        <w:rPr>
          <w:rFonts w:hint="eastAsia" w:ascii="方正仿宋_GBK" w:hAnsi="方正仿宋_GBK" w:eastAsia="方正仿宋_GBK" w:cs="方正仿宋_GBK"/>
          <w:color w:val="auto"/>
          <w:sz w:val="28"/>
          <w:szCs w:val="28"/>
          <w:highlight w:val="none"/>
          <w:lang w:eastAsia="zh-CN"/>
        </w:rPr>
        <w:t>合同</w:t>
      </w:r>
      <w:r>
        <w:rPr>
          <w:rFonts w:hint="eastAsia" w:ascii="方正仿宋_GBK" w:hAnsi="方正仿宋_GBK" w:eastAsia="方正仿宋_GBK" w:cs="方正仿宋_GBK"/>
          <w:color w:val="auto"/>
          <w:sz w:val="28"/>
          <w:szCs w:val="28"/>
          <w:highlight w:val="none"/>
          <w:lang w:val="en-US" w:eastAsia="zh-CN"/>
        </w:rPr>
        <w:t>所需</w:t>
      </w:r>
      <w:r>
        <w:rPr>
          <w:rFonts w:hint="eastAsia" w:ascii="方正仿宋_GBK" w:hAnsi="方正仿宋_GBK" w:eastAsia="方正仿宋_GBK" w:cs="方正仿宋_GBK"/>
          <w:color w:val="auto"/>
          <w:sz w:val="28"/>
          <w:szCs w:val="28"/>
          <w:highlight w:val="none"/>
        </w:rPr>
        <w:t>的一切费用。因成交供应商自身原因造成漏报、少报皆由其自行承担责任，采购人不再补偿。</w:t>
      </w:r>
      <w:r>
        <w:rPr>
          <w:rFonts w:hint="eastAsia" w:ascii="方正仿宋_GBK" w:hAnsi="方正仿宋_GBK" w:eastAsia="方正仿宋_GBK" w:cs="方正仿宋_GBK"/>
          <w:color w:val="auto"/>
          <w:sz w:val="28"/>
          <w:szCs w:val="28"/>
          <w:highlight w:val="none"/>
          <w:lang w:val="en-US" w:eastAsia="zh-CN"/>
        </w:rPr>
        <w:t>产品配送过程中出现的安全事故由供应商自行承担。2.报价表中的服务质量及验收标准供应商须完全响应，本项目采用最低评标价法评选。如超出投标报价、未在规定的时间内上交资料及资料不齐全的为无效报价。</w:t>
      </w:r>
    </w:p>
    <w:p>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3.法定代表人身份证明书</w:t>
      </w:r>
    </w:p>
    <w:p>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（法定代表人姓名）      </w:t>
      </w:r>
      <w:r>
        <w:rPr>
          <w:rFonts w:hint="eastAsia" w:ascii="仿宋_GB2312" w:hAnsi="宋体" w:eastAsia="仿宋_GB2312"/>
          <w:color w:val="auto"/>
          <w:sz w:val="28"/>
          <w:szCs w:val="28"/>
        </w:rPr>
        <w:t>在</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任</w:t>
      </w:r>
      <w:r>
        <w:rPr>
          <w:rFonts w:hint="eastAsia" w:ascii="仿宋_GB2312" w:hAnsi="宋体" w:eastAsia="仿宋_GB2312"/>
          <w:color w:val="auto"/>
          <w:sz w:val="28"/>
          <w:szCs w:val="28"/>
          <w:u w:val="single"/>
        </w:rPr>
        <w:t xml:space="preserve">（职务名称）      </w:t>
      </w:r>
      <w:r>
        <w:rPr>
          <w:rFonts w:hint="eastAsia" w:ascii="仿宋_GB2312" w:hAnsi="宋体" w:eastAsia="仿宋_GB2312"/>
          <w:color w:val="auto"/>
          <w:sz w:val="28"/>
          <w:szCs w:val="28"/>
        </w:rPr>
        <w:t>职务，是</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的法定代表人。</w:t>
      </w:r>
    </w:p>
    <w:p>
      <w:pPr>
        <w:adjustRightInd w:val="0"/>
        <w:snapToGrid w:val="0"/>
        <w:spacing w:line="360" w:lineRule="auto"/>
        <w:ind w:firstLine="700" w:firstLineChars="250"/>
        <w:rPr>
          <w:rFonts w:ascii="仿宋_GB2312" w:eastAsia="仿宋_GB2312"/>
          <w:color w:val="auto"/>
          <w:sz w:val="28"/>
          <w:szCs w:val="28"/>
        </w:rPr>
      </w:pPr>
      <w:bookmarkStart w:id="2" w:name="_Toc175017342"/>
      <w:bookmarkStart w:id="3" w:name="_Toc173677397"/>
      <w:bookmarkStart w:id="4" w:name="_Toc156196559"/>
      <w:bookmarkStart w:id="5" w:name="_Toc128229302"/>
      <w:bookmarkStart w:id="6" w:name="_Toc156815770"/>
      <w:bookmarkStart w:id="7" w:name="_Toc156196470"/>
      <w:bookmarkStart w:id="8" w:name="_Toc128229745"/>
      <w:bookmarkStart w:id="9" w:name="_Toc166139912"/>
      <w:bookmarkStart w:id="10" w:name="_Toc156730450"/>
      <w:bookmarkStart w:id="11" w:name="_Toc166549448"/>
      <w:bookmarkStart w:id="12" w:name="_Toc128229916"/>
      <w:r>
        <w:rPr>
          <w:rFonts w:hint="eastAsia" w:ascii="仿宋_GB2312" w:eastAsia="仿宋_GB2312"/>
          <w:color w:val="auto"/>
          <w:sz w:val="28"/>
          <w:szCs w:val="28"/>
        </w:rPr>
        <w:t>特此证明。</w:t>
      </w:r>
      <w:bookmarkEnd w:id="2"/>
      <w:bookmarkEnd w:id="3"/>
      <w:bookmarkEnd w:id="4"/>
      <w:bookmarkEnd w:id="5"/>
      <w:bookmarkEnd w:id="6"/>
      <w:bookmarkEnd w:id="7"/>
      <w:bookmarkEnd w:id="8"/>
      <w:bookmarkEnd w:id="9"/>
      <w:bookmarkEnd w:id="10"/>
      <w:bookmarkEnd w:id="11"/>
      <w:bookmarkEnd w:id="12"/>
    </w:p>
    <w:p>
      <w:pPr>
        <w:adjustRightInd w:val="0"/>
        <w:snapToGrid w:val="0"/>
        <w:spacing w:line="360" w:lineRule="auto"/>
        <w:ind w:firstLine="700" w:firstLineChars="250"/>
        <w:rPr>
          <w:rFonts w:ascii="仿宋_GB2312" w:eastAsia="仿宋_GB2312"/>
          <w:color w:val="auto"/>
          <w:sz w:val="28"/>
          <w:szCs w:val="28"/>
        </w:rPr>
      </w:pPr>
      <w:r>
        <w:rPr>
          <w:rFonts w:hint="eastAsia" w:ascii="仿宋_GB2312" w:eastAsia="仿宋_GB2312"/>
          <w:color w:val="auto"/>
          <w:sz w:val="28"/>
          <w:szCs w:val="28"/>
        </w:rPr>
        <w:t xml:space="preserve">                                        </w:t>
      </w:r>
      <w:bookmarkStart w:id="13" w:name="_Toc128229746"/>
      <w:bookmarkStart w:id="14" w:name="_Toc128229303"/>
      <w:bookmarkStart w:id="15" w:name="_Toc156196560"/>
      <w:bookmarkStart w:id="16" w:name="_Toc128229917"/>
      <w:bookmarkStart w:id="17" w:name="_Toc156730451"/>
      <w:bookmarkStart w:id="18" w:name="_Toc175017343"/>
      <w:bookmarkStart w:id="19" w:name="_Toc156196471"/>
      <w:bookmarkStart w:id="20" w:name="_Toc166549449"/>
      <w:bookmarkStart w:id="21" w:name="_Toc166139913"/>
      <w:bookmarkStart w:id="22" w:name="_Toc173677398"/>
      <w:bookmarkStart w:id="23" w:name="_Toc156815771"/>
      <w:r>
        <w:rPr>
          <w:rFonts w:hint="eastAsia" w:ascii="仿宋_GB2312" w:eastAsia="仿宋_GB2312"/>
          <w:color w:val="auto"/>
          <w:sz w:val="28"/>
          <w:szCs w:val="28"/>
        </w:rPr>
        <w:t xml:space="preserve">  投标人全称</w:t>
      </w:r>
      <w:bookmarkEnd w:id="13"/>
      <w:bookmarkEnd w:id="14"/>
      <w:bookmarkEnd w:id="15"/>
      <w:bookmarkEnd w:id="16"/>
      <w:bookmarkEnd w:id="17"/>
      <w:bookmarkEnd w:id="18"/>
      <w:bookmarkEnd w:id="19"/>
      <w:bookmarkEnd w:id="20"/>
      <w:bookmarkEnd w:id="21"/>
      <w:bookmarkEnd w:id="22"/>
      <w:bookmarkEnd w:id="23"/>
      <w:r>
        <w:rPr>
          <w:rFonts w:hint="eastAsia" w:ascii="仿宋_GB2312" w:eastAsia="仿宋_GB2312"/>
          <w:color w:val="auto"/>
          <w:sz w:val="28"/>
          <w:szCs w:val="28"/>
        </w:rPr>
        <w:t>：</w:t>
      </w:r>
      <w:r>
        <w:rPr>
          <w:rFonts w:hint="eastAsia" w:ascii="仿宋_GB2312" w:hAnsi="宋体" w:eastAsia="仿宋_GB2312"/>
          <w:color w:val="auto"/>
          <w:sz w:val="28"/>
          <w:szCs w:val="28"/>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年   月   日         </w:t>
      </w:r>
      <w:r>
        <w:rPr>
          <w:rFonts w:hint="eastAsia" w:ascii="仿宋_GB2312" w:hAnsi="宋体" w:eastAsia="仿宋_GB2312"/>
          <w:color w:val="auto"/>
          <w:sz w:val="24"/>
        </w:rPr>
        <w:t xml:space="preserve">   </w:t>
      </w:r>
    </w:p>
    <w:p>
      <w:pPr>
        <w:pStyle w:val="2"/>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4" w:name="_Toc173677399"/>
      <w:bookmarkStart w:id="25" w:name="_Toc128014297"/>
      <w:bookmarkStart w:id="26" w:name="_Toc156196472"/>
      <w:bookmarkStart w:id="27" w:name="_Toc175017344"/>
      <w:bookmarkStart w:id="28" w:name="_Toc128229304"/>
      <w:bookmarkStart w:id="29" w:name="_Toc237057793"/>
      <w:bookmarkStart w:id="30" w:name="_Toc128229747"/>
    </w:p>
    <w:p>
      <w:pPr>
        <w:pStyle w:val="2"/>
        <w:numPr>
          <w:ilvl w:val="0"/>
          <w:numId w:val="1"/>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24"/>
      <w:bookmarkEnd w:id="25"/>
      <w:bookmarkEnd w:id="26"/>
      <w:bookmarkEnd w:id="27"/>
      <w:bookmarkEnd w:id="28"/>
      <w:bookmarkEnd w:id="29"/>
      <w:bookmarkEnd w:id="30"/>
    </w:p>
    <w:p>
      <w:pPr>
        <w:numPr>
          <w:ilvl w:val="0"/>
          <w:numId w:val="0"/>
        </w:numPr>
        <w:jc w:val="center"/>
        <w:rPr>
          <w:b/>
          <w:bCs/>
          <w:sz w:val="32"/>
          <w:szCs w:val="32"/>
        </w:rPr>
      </w:pPr>
      <w:r>
        <w:rPr>
          <w:rFonts w:hint="eastAsia"/>
          <w:b/>
          <w:bCs/>
          <w:color w:val="auto"/>
          <w:sz w:val="32"/>
          <w:szCs w:val="32"/>
        </w:rPr>
        <w:t>投标人法定代表人授权委托书（格式）</w:t>
      </w:r>
    </w:p>
    <w:p>
      <w:pPr>
        <w:pStyle w:val="5"/>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w:t>
      </w:r>
      <w:r>
        <w:rPr>
          <w:rFonts w:hint="eastAsia" w:ascii="仿宋_GB2312" w:hAnsi="宋体" w:eastAsia="仿宋_GB2312"/>
          <w:color w:val="auto"/>
          <w:sz w:val="28"/>
          <w:szCs w:val="28"/>
        </w:rPr>
        <w:t>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4"/>
        </w:rPr>
      </w:pPr>
    </w:p>
    <w:p>
      <w:pPr>
        <w:pStyle w:val="3"/>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3"/>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3"/>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pPr>
        <w:pStyle w:val="3"/>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6.其他可以证明投标人有能力完成本项目的佐证材料</w:t>
      </w:r>
    </w:p>
    <w:p>
      <w:pPr>
        <w:pStyle w:val="3"/>
        <w:jc w:val="left"/>
        <w:rPr>
          <w:rFonts w:hint="eastAsia" w:ascii="仿宋_GB2312" w:hAnsi="宋体"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t>7.</w:t>
      </w:r>
      <w:r>
        <w:rPr>
          <w:rFonts w:hint="eastAsia" w:ascii="仿宋_GB2312" w:hAnsi="宋体" w:eastAsia="仿宋_GB2312"/>
          <w:b/>
          <w:snapToGrid w:val="0"/>
          <w:color w:val="auto"/>
          <w:kern w:val="0"/>
          <w:sz w:val="28"/>
          <w:szCs w:val="28"/>
          <w:lang w:val="en-US" w:eastAsia="zh-CN"/>
        </w:rPr>
        <w:t>投标</w:t>
      </w:r>
      <w:r>
        <w:rPr>
          <w:rFonts w:hint="eastAsia" w:ascii="仿宋_GB2312" w:hAnsi="宋体" w:eastAsia="仿宋_GB2312"/>
          <w:b/>
          <w:snapToGrid w:val="0"/>
          <w:color w:val="auto"/>
          <w:kern w:val="0"/>
          <w:sz w:val="28"/>
          <w:szCs w:val="28"/>
        </w:rPr>
        <w:t>廉政承诺书</w:t>
      </w:r>
    </w:p>
    <w:p>
      <w:pPr>
        <w:pStyle w:val="3"/>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3"/>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right"/>
        <w:textAlignment w:val="auto"/>
        <w:outlineLvl w:val="9"/>
        <w:rPr>
          <w:rFonts w:hint="eastAsia"/>
          <w:lang w:val="en-US" w:eastAsia="zh-CN"/>
        </w:rPr>
      </w:pP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kMzNlNzFkYmZlYTYzZDA5M2Y2OWYxYzM0ZDQyZGIifQ=="/>
  </w:docVars>
  <w:rsids>
    <w:rsidRoot w:val="00000000"/>
    <w:rsid w:val="0C872834"/>
    <w:rsid w:val="0CE64C8D"/>
    <w:rsid w:val="0EE54A68"/>
    <w:rsid w:val="0FD01451"/>
    <w:rsid w:val="122D0B62"/>
    <w:rsid w:val="1922346A"/>
    <w:rsid w:val="1AF86BE0"/>
    <w:rsid w:val="1BDE0896"/>
    <w:rsid w:val="1CF00EFC"/>
    <w:rsid w:val="236757CC"/>
    <w:rsid w:val="255D37AC"/>
    <w:rsid w:val="2FC44243"/>
    <w:rsid w:val="33FB61AD"/>
    <w:rsid w:val="376E6279"/>
    <w:rsid w:val="3DF66E1E"/>
    <w:rsid w:val="448740A2"/>
    <w:rsid w:val="456B0A3A"/>
    <w:rsid w:val="496140CE"/>
    <w:rsid w:val="4AE139DB"/>
    <w:rsid w:val="4BDB0A24"/>
    <w:rsid w:val="4C31315D"/>
    <w:rsid w:val="500750BD"/>
    <w:rsid w:val="61130716"/>
    <w:rsid w:val="61143219"/>
    <w:rsid w:val="626B6216"/>
    <w:rsid w:val="69D01878"/>
    <w:rsid w:val="6CB07B31"/>
    <w:rsid w:val="6DD05A39"/>
    <w:rsid w:val="6EC6360F"/>
    <w:rsid w:val="709601C6"/>
    <w:rsid w:val="713118C3"/>
    <w:rsid w:val="71C02C3F"/>
    <w:rsid w:val="72BB5C94"/>
    <w:rsid w:val="7C6F2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1"/>
    <w:rPr>
      <w:rFonts w:ascii="宋体" w:hAnsi="宋体" w:cs="宋体"/>
      <w:sz w:val="24"/>
      <w:szCs w:val="24"/>
      <w:lang w:val="zh-CN" w:bidi="zh-CN"/>
    </w:rPr>
  </w:style>
  <w:style w:type="paragraph" w:styleId="4">
    <w:name w:val="Body Text Indent"/>
    <w:basedOn w:val="1"/>
    <w:qFormat/>
    <w:uiPriority w:val="99"/>
    <w:pPr>
      <w:spacing w:line="700" w:lineRule="exact"/>
      <w:ind w:left="960"/>
    </w:pPr>
    <w:rPr>
      <w:sz w:val="44"/>
    </w:rPr>
  </w:style>
  <w:style w:type="paragraph" w:styleId="5">
    <w:name w:val="Date"/>
    <w:basedOn w:val="1"/>
    <w:next w:val="1"/>
    <w:qFormat/>
    <w:uiPriority w:val="0"/>
    <w:rPr>
      <w:sz w:val="28"/>
    </w:rPr>
  </w:style>
  <w:style w:type="paragraph" w:styleId="6">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7">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3"/>
    <w:next w:val="10"/>
    <w:qFormat/>
    <w:uiPriority w:val="0"/>
    <w:pPr>
      <w:spacing w:line="360" w:lineRule="auto"/>
      <w:ind w:firstLine="420"/>
    </w:pPr>
    <w:rPr>
      <w:rFonts w:ascii="宋体" w:hAnsi="宋体"/>
      <w:sz w:val="24"/>
    </w:rPr>
  </w:style>
  <w:style w:type="paragraph" w:styleId="10">
    <w:name w:val="Body Text First Indent 2"/>
    <w:basedOn w:val="4"/>
    <w:qFormat/>
    <w:uiPriority w:val="0"/>
    <w:pPr>
      <w:spacing w:after="120" w:afterLines="0" w:line="240" w:lineRule="auto"/>
      <w:ind w:left="420" w:leftChars="200" w:firstLine="420" w:firstLineChars="200"/>
    </w:pPr>
  </w:style>
  <w:style w:type="table" w:styleId="12">
    <w:name w:val="Table Grid"/>
    <w:basedOn w:val="1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paragraph" w:customStyle="1" w:styleId="15">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6">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7">
    <w:name w:val="font91"/>
    <w:basedOn w:val="13"/>
    <w:qFormat/>
    <w:uiPriority w:val="0"/>
    <w:rPr>
      <w:rFonts w:ascii="楷体" w:hAnsi="楷体" w:eastAsia="楷体" w:cs="楷体"/>
      <w:color w:val="000000"/>
      <w:sz w:val="22"/>
      <w:szCs w:val="22"/>
      <w:u w:val="none"/>
      <w:vertAlign w:val="superscript"/>
    </w:rPr>
  </w:style>
  <w:style w:type="character" w:customStyle="1" w:styleId="18">
    <w:name w:val="font21"/>
    <w:basedOn w:val="13"/>
    <w:qFormat/>
    <w:uiPriority w:val="0"/>
    <w:rPr>
      <w:rFonts w:hint="eastAsia" w:ascii="仿宋" w:hAnsi="仿宋" w:eastAsia="仿宋" w:cs="仿宋"/>
      <w:b/>
      <w:bCs/>
      <w:color w:val="000000"/>
      <w:sz w:val="24"/>
      <w:szCs w:val="24"/>
      <w:u w:val="none"/>
    </w:rPr>
  </w:style>
  <w:style w:type="paragraph" w:customStyle="1" w:styleId="19">
    <w:name w:val="BodyText"/>
    <w:basedOn w:val="1"/>
    <w:next w:val="20"/>
    <w:qFormat/>
    <w:uiPriority w:val="0"/>
    <w:pPr>
      <w:jc w:val="both"/>
      <w:textAlignment w:val="baseline"/>
    </w:pPr>
    <w:rPr>
      <w:rFonts w:ascii="仿宋_GB2312" w:eastAsia="仿宋_GB2312"/>
      <w:kern w:val="2"/>
      <w:sz w:val="32"/>
      <w:lang w:val="en-US" w:eastAsia="zh-CN" w:bidi="ar-SA"/>
    </w:rPr>
  </w:style>
  <w:style w:type="paragraph" w:customStyle="1" w:styleId="20">
    <w:name w:val="BodyTextIndent"/>
    <w:basedOn w:val="1"/>
    <w:qFormat/>
    <w:uiPriority w:val="0"/>
    <w:pPr>
      <w:spacing w:line="700" w:lineRule="exact"/>
      <w:ind w:left="960"/>
      <w:jc w:val="both"/>
      <w:textAlignment w:val="baseline"/>
    </w:pPr>
    <w:rPr>
      <w:kern w:val="2"/>
      <w:sz w:val="44"/>
      <w:lang w:val="en-US" w:eastAsia="zh-CN" w:bidi="ar-SA"/>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1896</Words>
  <Characters>1945</Characters>
  <Lines>0</Lines>
  <Paragraphs>0</Paragraphs>
  <TotalTime>13</TotalTime>
  <ScaleCrop>false</ScaleCrop>
  <LinksUpToDate>false</LinksUpToDate>
  <CharactersWithSpaces>2483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2024-01-09T04:08:46Z</cp:lastPrinted>
  <dcterms:modified xsi:type="dcterms:W3CDTF">2024-01-09T04:09:12Z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4BD0A4B45C47415D9388D9E3E80113E6</vt:lpwstr>
  </property>
</Properties>
</file>