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项目名称：学生宿舍热水器</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项目编号：BSRMYY-YNCG-2025-10010</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62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9"/>
        <w:gridCol w:w="2241"/>
        <w:gridCol w:w="1487"/>
        <w:gridCol w:w="2194"/>
        <w:gridCol w:w="2029"/>
        <w:gridCol w:w="2318"/>
      </w:tblGrid>
      <w:tr w14:paraId="0055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5"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011"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671"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数量（台）</w:t>
            </w:r>
          </w:p>
        </w:tc>
        <w:tc>
          <w:tcPr>
            <w:tcW w:w="990"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15"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总价合计（元）</w:t>
            </w:r>
          </w:p>
        </w:tc>
        <w:tc>
          <w:tcPr>
            <w:tcW w:w="1046" w:type="pct"/>
            <w:vAlign w:val="center"/>
          </w:tcPr>
          <w:p w14:paraId="0566CAA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投标保证金（元）</w:t>
            </w:r>
          </w:p>
        </w:tc>
      </w:tr>
      <w:tr w14:paraId="7745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7" w:hRule="atLeast"/>
          <w:jc w:val="center"/>
        </w:trPr>
        <w:tc>
          <w:tcPr>
            <w:tcW w:w="365"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011"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学生宿舍热水器</w:t>
            </w:r>
          </w:p>
        </w:tc>
        <w:tc>
          <w:tcPr>
            <w:tcW w:w="671"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37</w:t>
            </w:r>
          </w:p>
        </w:tc>
        <w:tc>
          <w:tcPr>
            <w:tcW w:w="990"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1000</w:t>
            </w:r>
          </w:p>
        </w:tc>
        <w:tc>
          <w:tcPr>
            <w:tcW w:w="915"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37000</w:t>
            </w:r>
          </w:p>
        </w:tc>
        <w:tc>
          <w:tcPr>
            <w:tcW w:w="1046" w:type="pct"/>
            <w:vAlign w:val="center"/>
          </w:tcPr>
          <w:p w14:paraId="6B7FFC3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740</w:t>
            </w: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50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4"/>
        <w:gridCol w:w="1514"/>
        <w:gridCol w:w="2114"/>
        <w:gridCol w:w="4800"/>
        <w:gridCol w:w="1472"/>
      </w:tblGrid>
      <w:tr w14:paraId="30A680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39" w:type="pct"/>
            <w:vAlign w:val="center"/>
          </w:tcPr>
          <w:p w14:paraId="1471F3D3">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序号</w:t>
            </w:r>
          </w:p>
        </w:tc>
        <w:tc>
          <w:tcPr>
            <w:tcW w:w="697" w:type="pct"/>
            <w:vAlign w:val="center"/>
          </w:tcPr>
          <w:p w14:paraId="781E349F">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名称</w:t>
            </w:r>
          </w:p>
        </w:tc>
        <w:tc>
          <w:tcPr>
            <w:tcW w:w="973" w:type="pct"/>
            <w:vAlign w:val="center"/>
          </w:tcPr>
          <w:p w14:paraId="3E6EC371">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品牌推荐</w:t>
            </w:r>
          </w:p>
        </w:tc>
        <w:tc>
          <w:tcPr>
            <w:tcW w:w="2211" w:type="pct"/>
            <w:vAlign w:val="center"/>
          </w:tcPr>
          <w:p w14:paraId="41DA3A15">
            <w:pPr>
              <w:pStyle w:val="25"/>
              <w:numPr>
                <w:ilvl w:val="0"/>
                <w:numId w:val="0"/>
              </w:numPr>
              <w:jc w:val="center"/>
              <w:textAlignment w:val="baseline"/>
              <w:rPr>
                <w:rFonts w:hint="default"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规格参数</w:t>
            </w:r>
          </w:p>
        </w:tc>
        <w:tc>
          <w:tcPr>
            <w:tcW w:w="678" w:type="pct"/>
            <w:vAlign w:val="center"/>
          </w:tcPr>
          <w:p w14:paraId="503F82C9">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用途范围</w:t>
            </w:r>
          </w:p>
        </w:tc>
      </w:tr>
      <w:tr w14:paraId="33751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6" w:hRule="atLeast"/>
          <w:jc w:val="center"/>
        </w:trPr>
        <w:tc>
          <w:tcPr>
            <w:tcW w:w="439" w:type="pct"/>
            <w:shd w:val="clear" w:color="auto" w:fill="auto"/>
            <w:vAlign w:val="center"/>
          </w:tcPr>
          <w:p w14:paraId="6303FD0A">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w:t>
            </w:r>
          </w:p>
        </w:tc>
        <w:tc>
          <w:tcPr>
            <w:tcW w:w="697" w:type="pct"/>
            <w:shd w:val="clear" w:color="auto" w:fill="auto"/>
            <w:vAlign w:val="center"/>
          </w:tcPr>
          <w:p w14:paraId="5E5ACB0C">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学生宿舍热水器</w:t>
            </w:r>
          </w:p>
        </w:tc>
        <w:tc>
          <w:tcPr>
            <w:tcW w:w="973" w:type="pct"/>
            <w:shd w:val="clear" w:color="auto" w:fill="auto"/>
            <w:vAlign w:val="center"/>
          </w:tcPr>
          <w:p w14:paraId="3B44FE76">
            <w:pPr>
              <w:pStyle w:val="25"/>
              <w:numPr>
                <w:ilvl w:val="0"/>
                <w:numId w:val="0"/>
              </w:numPr>
              <w:jc w:val="center"/>
              <w:textAlignment w:val="baseline"/>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美的、澳柯玛、海尔</w:t>
            </w:r>
          </w:p>
        </w:tc>
        <w:tc>
          <w:tcPr>
            <w:tcW w:w="2211" w:type="pct"/>
            <w:shd w:val="clear" w:color="auto" w:fill="auto"/>
            <w:vAlign w:val="center"/>
          </w:tcPr>
          <w:p w14:paraId="45988BB4">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容量80L，外观为圆筒形，能效等级为二级及以上，加热功率2000W-2200W，有漏电保护，热水输出率80%及以上，防水等级IPX4及以上，支持智能调节</w:t>
            </w:r>
          </w:p>
          <w:p w14:paraId="4987E45B">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8"/>
                <w:szCs w:val="28"/>
                <w:highlight w:val="none"/>
                <w:lang w:val="en-US" w:eastAsia="zh-CN"/>
              </w:rPr>
              <w:t>环保节能要求：二级及以上</w:t>
            </w:r>
          </w:p>
        </w:tc>
        <w:tc>
          <w:tcPr>
            <w:tcW w:w="678" w:type="pct"/>
            <w:shd w:val="clear" w:color="auto" w:fill="auto"/>
            <w:vAlign w:val="center"/>
          </w:tcPr>
          <w:p w14:paraId="4683342C">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用于学生宿舍淋浴间</w:t>
            </w:r>
          </w:p>
          <w:p w14:paraId="47F73403">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p>
        </w:tc>
      </w:tr>
      <w:tr w14:paraId="7DDCB5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1" w:hRule="atLeast"/>
          <w:jc w:val="center"/>
        </w:trPr>
        <w:tc>
          <w:tcPr>
            <w:tcW w:w="5000" w:type="pct"/>
            <w:gridSpan w:val="5"/>
            <w:shd w:val="clear" w:color="auto" w:fill="auto"/>
            <w:vAlign w:val="center"/>
          </w:tcPr>
          <w:p w14:paraId="618959DF">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备注：供应商响应品牌须为采购人推荐品牌</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bookmarkStart w:id="7" w:name="_GoBack"/>
      <w:bookmarkEnd w:id="7"/>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本项目对产品单价及总价均进行限价。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质保期维护保养费（含易损件更换）、资料装订及邮寄费、税费、保险费、验收检测费、信息系统对接接口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中选后，一般情况接采购人通知后7天完成安装调试，特殊情况10天完成。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验收合格后支付合同金额的90%，待质保期结束后无息支付剩余10%，付款时供应商提供发票、验收单、送货单等。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D4B38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安装调试后试运行1个月无异常才作为最终验收。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（1）生产日期要求：送货产品须为生产日期1年内的全新产品。</w:t>
      </w:r>
    </w:p>
    <w:p w14:paraId="537CB12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期限及：产品质保期不少于3年（时间从双方验收确认签字入库起开始计算），质保期内非人为损坏免费更换。供应商在质保期内应对每台热水器进行至少1次的清洗维护（具体时间由采购人决定并通知）。</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w:t>
      </w:r>
      <w:r>
        <w:rPr>
          <w:rFonts w:hint="eastAsia" w:ascii="方正仿宋_GBK" w:hAnsi="方正仿宋_GBK" w:eastAsia="方正仿宋_GBK" w:cs="方正仿宋_GBK"/>
          <w:b/>
          <w:bCs/>
          <w:color w:val="auto"/>
          <w:sz w:val="32"/>
          <w:szCs w:val="32"/>
          <w:highlight w:val="none"/>
          <w:lang w:val="en-US" w:eastAsia="zh-CN"/>
        </w:rPr>
        <w:t>投标保证金</w:t>
      </w:r>
    </w:p>
    <w:p w14:paraId="2C9E288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（1）供应商投标前须向采购人缴纳投标保证金740元，形式可为现金、支票、汇款、银行保函等。供应商应在投标时间内将投标响应资料和投标保证金缴纳凭证交到采购办，资料不齐的视为无效响应。</w:t>
      </w:r>
    </w:p>
    <w:p w14:paraId="33BAB7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（2）现金及转账方式：现金在新院区行政楼2楼226办公室缴纳，汇款账号信息（收款单位重庆市璧山区财政局；开户银行：农商行璧山支行；账号：2101 0101 2001 0000 0143 0800 3）。</w:t>
      </w:r>
    </w:p>
    <w:p w14:paraId="14483D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（3）退还管理：评标结果公示后退还未中选供应商投标保证金，中选供应商在完成合同签订后退还。</w:t>
      </w:r>
    </w:p>
    <w:p w14:paraId="3DBD65D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供应商未按采购人要求时限送货，每延迟1日，供应商应向采购人支付200元违约金，超过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配套服务要求提供服务的，供应商将承担200元/次的违约金；供应商产品质量问题，每次承担1000元违约金，发生与产品质量相关的不良事件，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128229304"/>
      <w:bookmarkStart w:id="2" w:name="_Toc128014297"/>
      <w:bookmarkStart w:id="3" w:name="_Toc173677399"/>
      <w:bookmarkStart w:id="4" w:name="_Toc128229747"/>
      <w:bookmarkStart w:id="5" w:name="_Toc156196472"/>
      <w:bookmarkStart w:id="6" w:name="_Toc237057793"/>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6DBC400A">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要求</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5"/>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5"/>
        <w:jc w:val="center"/>
        <w:rPr>
          <w:rFonts w:hint="eastAsia" w:ascii="方正仿宋_GBK" w:eastAsia="方正仿宋_GBK"/>
          <w:sz w:val="32"/>
          <w:szCs w:val="32"/>
          <w:highlight w:val="none"/>
          <w:lang w:val="en-US" w:eastAsia="zh-CN"/>
        </w:rPr>
      </w:pPr>
    </w:p>
    <w:p w14:paraId="64CEBE7C">
      <w:pPr>
        <w:pStyle w:val="5"/>
        <w:jc w:val="center"/>
        <w:rPr>
          <w:rFonts w:hint="eastAsia" w:ascii="方正仿宋_GBK" w:eastAsia="方正仿宋_GBK"/>
          <w:sz w:val="32"/>
          <w:szCs w:val="32"/>
          <w:highlight w:val="none"/>
          <w:lang w:val="en-US" w:eastAsia="zh-CN"/>
        </w:rPr>
      </w:pPr>
    </w:p>
    <w:p w14:paraId="196959D3">
      <w:pPr>
        <w:pStyle w:val="5"/>
        <w:jc w:val="center"/>
        <w:rPr>
          <w:rFonts w:hint="eastAsia" w:ascii="方正仿宋_GBK" w:eastAsia="方正仿宋_GBK"/>
          <w:sz w:val="32"/>
          <w:szCs w:val="32"/>
          <w:highlight w:val="none"/>
          <w:lang w:val="en-US" w:eastAsia="zh-CN"/>
        </w:rPr>
      </w:pPr>
    </w:p>
    <w:p w14:paraId="44E4DD8C">
      <w:pPr>
        <w:pStyle w:val="5"/>
        <w:jc w:val="center"/>
        <w:rPr>
          <w:rFonts w:hint="eastAsia" w:ascii="方正仿宋_GBK" w:eastAsia="方正仿宋_GBK"/>
          <w:sz w:val="32"/>
          <w:szCs w:val="32"/>
          <w:highlight w:val="none"/>
          <w:lang w:val="en-US" w:eastAsia="zh-CN"/>
        </w:rPr>
      </w:pPr>
    </w:p>
    <w:p w14:paraId="70CABCE1">
      <w:pPr>
        <w:pStyle w:val="5"/>
        <w:jc w:val="center"/>
        <w:rPr>
          <w:rFonts w:hint="eastAsia" w:ascii="方正仿宋_GBK" w:eastAsia="方正仿宋_GBK"/>
          <w:sz w:val="32"/>
          <w:szCs w:val="32"/>
          <w:highlight w:val="none"/>
          <w:lang w:val="en-US" w:eastAsia="zh-CN"/>
        </w:rPr>
      </w:pPr>
    </w:p>
    <w:p w14:paraId="77861BB5">
      <w:pPr>
        <w:pStyle w:val="5"/>
        <w:jc w:val="center"/>
        <w:rPr>
          <w:rFonts w:hint="eastAsia" w:ascii="方正仿宋_GBK" w:eastAsia="方正仿宋_GBK"/>
          <w:sz w:val="32"/>
          <w:szCs w:val="32"/>
          <w:highlight w:val="none"/>
          <w:lang w:val="en-US" w:eastAsia="zh-CN"/>
        </w:rPr>
      </w:pPr>
    </w:p>
    <w:p w14:paraId="196F49FB">
      <w:pPr>
        <w:pStyle w:val="5"/>
        <w:jc w:val="center"/>
        <w:rPr>
          <w:rFonts w:hint="eastAsia" w:ascii="方正仿宋_GBK" w:eastAsia="方正仿宋_GBK"/>
          <w:sz w:val="32"/>
          <w:szCs w:val="32"/>
          <w:highlight w:val="none"/>
          <w:lang w:val="en-US" w:eastAsia="zh-CN"/>
        </w:rPr>
      </w:pPr>
    </w:p>
    <w:p w14:paraId="24AF7802">
      <w:pPr>
        <w:pStyle w:val="5"/>
        <w:jc w:val="center"/>
        <w:rPr>
          <w:rFonts w:hint="eastAsia" w:ascii="方正仿宋_GBK" w:eastAsia="方正仿宋_GBK"/>
          <w:sz w:val="32"/>
          <w:szCs w:val="32"/>
          <w:highlight w:val="none"/>
          <w:lang w:val="en-US" w:eastAsia="zh-CN"/>
        </w:rPr>
      </w:pPr>
    </w:p>
    <w:p w14:paraId="6F84A41C">
      <w:pPr>
        <w:pStyle w:val="5"/>
        <w:jc w:val="center"/>
        <w:rPr>
          <w:rFonts w:hint="eastAsia" w:ascii="方正仿宋_GBK" w:eastAsia="方正仿宋_GBK"/>
          <w:sz w:val="32"/>
          <w:szCs w:val="32"/>
          <w:highlight w:val="none"/>
          <w:lang w:val="en-US" w:eastAsia="zh-CN"/>
        </w:rPr>
      </w:pPr>
    </w:p>
    <w:p w14:paraId="135B4CBC">
      <w:pPr>
        <w:pStyle w:val="5"/>
        <w:jc w:val="center"/>
        <w:rPr>
          <w:rFonts w:hint="eastAsia" w:ascii="方正仿宋_GBK" w:eastAsia="方正仿宋_GBK"/>
          <w:sz w:val="32"/>
          <w:szCs w:val="32"/>
          <w:highlight w:val="none"/>
          <w:lang w:val="en-US" w:eastAsia="zh-CN"/>
        </w:rPr>
      </w:pPr>
    </w:p>
    <w:p w14:paraId="779E274A">
      <w:pPr>
        <w:pStyle w:val="5"/>
        <w:jc w:val="center"/>
        <w:rPr>
          <w:rFonts w:hint="eastAsia" w:ascii="方正仿宋_GBK" w:eastAsia="方正仿宋_GBK"/>
          <w:sz w:val="32"/>
          <w:szCs w:val="32"/>
          <w:highlight w:val="none"/>
          <w:lang w:val="en-US" w:eastAsia="zh-CN"/>
        </w:rPr>
      </w:pPr>
    </w:p>
    <w:p w14:paraId="1E093CFE">
      <w:pPr>
        <w:pStyle w:val="5"/>
        <w:jc w:val="center"/>
        <w:rPr>
          <w:rFonts w:hint="eastAsia" w:ascii="方正仿宋_GBK" w:eastAsia="方正仿宋_GBK"/>
          <w:sz w:val="32"/>
          <w:szCs w:val="32"/>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001E5A"/>
    <w:rsid w:val="014A6652"/>
    <w:rsid w:val="015B6D6E"/>
    <w:rsid w:val="03CE68FB"/>
    <w:rsid w:val="041961A8"/>
    <w:rsid w:val="04C70F47"/>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AAE2C67"/>
    <w:rsid w:val="1AF86BE0"/>
    <w:rsid w:val="1B3306B6"/>
    <w:rsid w:val="1BDE0896"/>
    <w:rsid w:val="1C1979BC"/>
    <w:rsid w:val="1CE4012E"/>
    <w:rsid w:val="1CF00EFC"/>
    <w:rsid w:val="1F2F00AB"/>
    <w:rsid w:val="2027068C"/>
    <w:rsid w:val="205210D9"/>
    <w:rsid w:val="20746E51"/>
    <w:rsid w:val="21426D4A"/>
    <w:rsid w:val="215F0650"/>
    <w:rsid w:val="233D75DC"/>
    <w:rsid w:val="236757CC"/>
    <w:rsid w:val="23A46E10"/>
    <w:rsid w:val="23FB11F4"/>
    <w:rsid w:val="28256D6A"/>
    <w:rsid w:val="28275AF0"/>
    <w:rsid w:val="29AE2A56"/>
    <w:rsid w:val="2C3529EE"/>
    <w:rsid w:val="2CCA628B"/>
    <w:rsid w:val="2F2F3117"/>
    <w:rsid w:val="2FC44243"/>
    <w:rsid w:val="31092EA8"/>
    <w:rsid w:val="31B12793"/>
    <w:rsid w:val="33FB61AD"/>
    <w:rsid w:val="342C6BC9"/>
    <w:rsid w:val="35761799"/>
    <w:rsid w:val="359B4383"/>
    <w:rsid w:val="360845B7"/>
    <w:rsid w:val="36ED77AA"/>
    <w:rsid w:val="376E6279"/>
    <w:rsid w:val="38A14340"/>
    <w:rsid w:val="396A2364"/>
    <w:rsid w:val="3A6A181A"/>
    <w:rsid w:val="3A800389"/>
    <w:rsid w:val="3D485EC4"/>
    <w:rsid w:val="3D8263F7"/>
    <w:rsid w:val="3DE758A5"/>
    <w:rsid w:val="3E490B2A"/>
    <w:rsid w:val="3F5C6F82"/>
    <w:rsid w:val="3F7A35A1"/>
    <w:rsid w:val="40507E8F"/>
    <w:rsid w:val="40611EDD"/>
    <w:rsid w:val="41593545"/>
    <w:rsid w:val="44C5770F"/>
    <w:rsid w:val="44EF71C4"/>
    <w:rsid w:val="46F74436"/>
    <w:rsid w:val="474B1D32"/>
    <w:rsid w:val="475D7492"/>
    <w:rsid w:val="47D914B4"/>
    <w:rsid w:val="482D6FF9"/>
    <w:rsid w:val="48832656"/>
    <w:rsid w:val="496140CE"/>
    <w:rsid w:val="4AE139DB"/>
    <w:rsid w:val="4B2941E0"/>
    <w:rsid w:val="4BDB0A24"/>
    <w:rsid w:val="4C31315D"/>
    <w:rsid w:val="4F6D75ED"/>
    <w:rsid w:val="51352B6B"/>
    <w:rsid w:val="53A17F68"/>
    <w:rsid w:val="53DB6C22"/>
    <w:rsid w:val="53FB2F26"/>
    <w:rsid w:val="54B6568B"/>
    <w:rsid w:val="55085A60"/>
    <w:rsid w:val="55BB5978"/>
    <w:rsid w:val="59343196"/>
    <w:rsid w:val="599E0097"/>
    <w:rsid w:val="5ADB7D78"/>
    <w:rsid w:val="5BB04DF0"/>
    <w:rsid w:val="5D6C0A93"/>
    <w:rsid w:val="5D915A0E"/>
    <w:rsid w:val="5DBD061A"/>
    <w:rsid w:val="5E932E93"/>
    <w:rsid w:val="5F906D7E"/>
    <w:rsid w:val="5FA4498B"/>
    <w:rsid w:val="60480506"/>
    <w:rsid w:val="60643E84"/>
    <w:rsid w:val="61130716"/>
    <w:rsid w:val="61143219"/>
    <w:rsid w:val="61707CCC"/>
    <w:rsid w:val="61A6052D"/>
    <w:rsid w:val="623E37BE"/>
    <w:rsid w:val="626B6216"/>
    <w:rsid w:val="63814C5E"/>
    <w:rsid w:val="63FA2F2B"/>
    <w:rsid w:val="64077B7B"/>
    <w:rsid w:val="641D2F42"/>
    <w:rsid w:val="651C3DE1"/>
    <w:rsid w:val="66A178F0"/>
    <w:rsid w:val="67CF5844"/>
    <w:rsid w:val="685314B5"/>
    <w:rsid w:val="685968A7"/>
    <w:rsid w:val="69841E39"/>
    <w:rsid w:val="69D01878"/>
    <w:rsid w:val="6A1F4430"/>
    <w:rsid w:val="6B247663"/>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4EA3555"/>
    <w:rsid w:val="761A5C47"/>
    <w:rsid w:val="777A05E8"/>
    <w:rsid w:val="77DC750A"/>
    <w:rsid w:val="77FA34D6"/>
    <w:rsid w:val="78024143"/>
    <w:rsid w:val="787B41CF"/>
    <w:rsid w:val="78F54CD1"/>
    <w:rsid w:val="799B64FC"/>
    <w:rsid w:val="7AF0174A"/>
    <w:rsid w:val="7B5C1973"/>
    <w:rsid w:val="7BDE27F0"/>
    <w:rsid w:val="7C6F2CF1"/>
    <w:rsid w:val="7CB244A3"/>
    <w:rsid w:val="7CE43175"/>
    <w:rsid w:val="7E491060"/>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6545</Words>
  <Characters>6793</Characters>
  <Lines>0</Lines>
  <Paragraphs>0</Paragraphs>
  <TotalTime>32</TotalTime>
  <ScaleCrop>false</ScaleCrop>
  <LinksUpToDate>false</LinksUpToDate>
  <CharactersWithSpaces>7527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2025-10-30T03:28:16Z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