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2A1E195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项目名称：小动物麻醉机</w:t>
      </w:r>
    </w:p>
    <w:p w14:paraId="61C8143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项目编号：BSRMYY-YNCG-2025-08013</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eastAsia"/>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5464"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04"/>
        <w:gridCol w:w="1990"/>
        <w:gridCol w:w="1813"/>
        <w:gridCol w:w="1294"/>
        <w:gridCol w:w="2223"/>
        <w:gridCol w:w="2445"/>
      </w:tblGrid>
      <w:tr w14:paraId="6C4EB0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4" w:hRule="atLeast"/>
          <w:jc w:val="center"/>
        </w:trPr>
        <w:tc>
          <w:tcPr>
            <w:tcW w:w="466"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923"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841" w:type="pct"/>
            <w:vAlign w:val="center"/>
          </w:tcPr>
          <w:p w14:paraId="2AAB849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600" w:type="pct"/>
            <w:vAlign w:val="center"/>
          </w:tcPr>
          <w:p w14:paraId="44338B6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032" w:type="pct"/>
            <w:vAlign w:val="center"/>
          </w:tcPr>
          <w:p w14:paraId="5AA0D22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135" w:type="pct"/>
            <w:vAlign w:val="center"/>
          </w:tcPr>
          <w:p w14:paraId="3B9AAC1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合计总价（元）</w:t>
            </w:r>
          </w:p>
        </w:tc>
      </w:tr>
      <w:tr w14:paraId="7B9FB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9" w:hRule="atLeast"/>
          <w:jc w:val="center"/>
        </w:trPr>
        <w:tc>
          <w:tcPr>
            <w:tcW w:w="466" w:type="pct"/>
            <w:vAlign w:val="center"/>
          </w:tcPr>
          <w:p w14:paraId="6C3FE38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923" w:type="pct"/>
            <w:vAlign w:val="center"/>
          </w:tcPr>
          <w:p w14:paraId="2C10F349">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小动物麻醉机</w:t>
            </w:r>
          </w:p>
        </w:tc>
        <w:tc>
          <w:tcPr>
            <w:tcW w:w="841" w:type="pct"/>
            <w:vAlign w:val="center"/>
          </w:tcPr>
          <w:p w14:paraId="669A942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600" w:type="pct"/>
            <w:vAlign w:val="center"/>
          </w:tcPr>
          <w:p w14:paraId="47963E2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套</w:t>
            </w:r>
          </w:p>
        </w:tc>
        <w:tc>
          <w:tcPr>
            <w:tcW w:w="1032" w:type="pct"/>
            <w:vAlign w:val="center"/>
          </w:tcPr>
          <w:p w14:paraId="6B29C60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16000</w:t>
            </w:r>
          </w:p>
        </w:tc>
        <w:tc>
          <w:tcPr>
            <w:tcW w:w="1135" w:type="pct"/>
            <w:vAlign w:val="center"/>
          </w:tcPr>
          <w:p w14:paraId="28F90DD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16000</w:t>
            </w:r>
          </w:p>
        </w:tc>
      </w:tr>
    </w:tbl>
    <w:p w14:paraId="73EE7FE2">
      <w:pPr>
        <w:pStyle w:val="25"/>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技术要求（须完全响应，并提供每条参数的佐证材料）</w:t>
      </w:r>
    </w:p>
    <w:tbl>
      <w:tblPr>
        <w:tblStyle w:val="13"/>
        <w:tblW w:w="548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08"/>
        <w:gridCol w:w="1316"/>
        <w:gridCol w:w="6361"/>
        <w:gridCol w:w="2315"/>
      </w:tblGrid>
      <w:tr w14:paraId="0298ED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74" w:type="pct"/>
            <w:vAlign w:val="center"/>
          </w:tcPr>
          <w:p w14:paraId="1471F3D3">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序号</w:t>
            </w:r>
          </w:p>
        </w:tc>
        <w:tc>
          <w:tcPr>
            <w:tcW w:w="609" w:type="pct"/>
            <w:vAlign w:val="center"/>
          </w:tcPr>
          <w:p w14:paraId="781E349F">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名称</w:t>
            </w:r>
          </w:p>
        </w:tc>
        <w:tc>
          <w:tcPr>
            <w:tcW w:w="2944" w:type="pct"/>
            <w:vAlign w:val="center"/>
          </w:tcPr>
          <w:p w14:paraId="1FA22701">
            <w:pPr>
              <w:pStyle w:val="25"/>
              <w:numPr>
                <w:ilvl w:val="0"/>
                <w:numId w:val="0"/>
              </w:numPr>
              <w:ind w:left="0" w:leftChars="0" w:firstLine="0" w:firstLineChars="0"/>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配置及参数</w:t>
            </w:r>
          </w:p>
        </w:tc>
        <w:tc>
          <w:tcPr>
            <w:tcW w:w="1071" w:type="pct"/>
            <w:vAlign w:val="center"/>
          </w:tcPr>
          <w:p w14:paraId="3BE81362">
            <w:pPr>
              <w:pStyle w:val="25"/>
              <w:numPr>
                <w:ilvl w:val="0"/>
                <w:numId w:val="0"/>
              </w:numPr>
              <w:ind w:left="0" w:leftChars="0" w:firstLine="0" w:firstLineChars="0"/>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用途范围</w:t>
            </w:r>
          </w:p>
        </w:tc>
      </w:tr>
      <w:tr w14:paraId="12268E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09" w:hRule="atLeast"/>
          <w:jc w:val="center"/>
        </w:trPr>
        <w:tc>
          <w:tcPr>
            <w:tcW w:w="374" w:type="pct"/>
            <w:shd w:val="clear" w:color="auto" w:fill="auto"/>
            <w:vAlign w:val="center"/>
          </w:tcPr>
          <w:p w14:paraId="6303FD0A">
            <w:pPr>
              <w:pStyle w:val="25"/>
              <w:numPr>
                <w:ilvl w:val="0"/>
                <w:numId w:val="0"/>
              </w:numPr>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 xml:space="preserve"> 1</w:t>
            </w:r>
          </w:p>
        </w:tc>
        <w:tc>
          <w:tcPr>
            <w:tcW w:w="609" w:type="pct"/>
            <w:shd w:val="clear" w:color="auto" w:fill="auto"/>
            <w:vAlign w:val="center"/>
          </w:tcPr>
          <w:p w14:paraId="5E5ACB0C">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小动物麻醉机</w:t>
            </w:r>
          </w:p>
        </w:tc>
        <w:tc>
          <w:tcPr>
            <w:tcW w:w="2944" w:type="pct"/>
            <w:shd w:val="clear" w:color="auto" w:fill="auto"/>
            <w:vAlign w:val="center"/>
          </w:tcPr>
          <w:p w14:paraId="7A7B619A">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color w:val="FF0000"/>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一、</w:t>
            </w:r>
            <w:r>
              <w:rPr>
                <w:rFonts w:hint="eastAsia" w:ascii="方正仿宋_GBK" w:hAnsi="方正仿宋_GBK" w:eastAsia="方正仿宋_GBK" w:cs="方正仿宋_GBK"/>
                <w:b/>
                <w:bCs/>
                <w:color w:val="000000" w:themeColor="text1"/>
                <w:sz w:val="28"/>
                <w:szCs w:val="28"/>
                <w:highlight w:val="none"/>
                <w:lang w:val="en-US" w:eastAsia="zh-CN"/>
                <w14:textFill>
                  <w14:solidFill>
                    <w14:schemeClr w14:val="tx1"/>
                  </w14:solidFill>
                </w14:textFill>
              </w:rPr>
              <w:t>具体配置：</w:t>
            </w:r>
          </w:p>
          <w:p w14:paraId="163C0052">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麻醉剂主机1台（含麻醉挥发罐1个、流量计1个）</w:t>
            </w:r>
            <w:r>
              <w:rPr>
                <w:rFonts w:hint="eastAsia" w:ascii="方正仿宋_GBK" w:hAnsi="方正仿宋_GBK" w:eastAsia="方正仿宋_GBK" w:cs="方正仿宋_GBK"/>
                <w:b/>
                <w:bCs/>
                <w:sz w:val="28"/>
                <w:szCs w:val="28"/>
                <w:highlight w:val="none"/>
                <w:lang w:val="en-US" w:eastAsia="zh-CN"/>
              </w:rPr>
              <w:t>、大鼠专用面罩</w:t>
            </w:r>
            <w:r>
              <w:rPr>
                <w:rFonts w:hint="eastAsia" w:ascii="方正仿宋_GBK" w:hAnsi="方正仿宋_GBK" w:eastAsia="方正仿宋_GBK" w:cs="方正仿宋_GBK"/>
                <w:b/>
                <w:bCs/>
                <w:sz w:val="28"/>
                <w:szCs w:val="28"/>
                <w:highlight w:val="none"/>
                <w:lang w:val="en-US" w:eastAsia="zh-CN"/>
              </w:rPr>
              <w:t>≥</w:t>
            </w:r>
            <w:r>
              <w:rPr>
                <w:rFonts w:hint="eastAsia" w:ascii="方正仿宋_GBK" w:hAnsi="方正仿宋_GBK" w:eastAsia="方正仿宋_GBK" w:cs="方正仿宋_GBK"/>
                <w:b/>
                <w:bCs/>
                <w:sz w:val="28"/>
                <w:szCs w:val="28"/>
                <w:highlight w:val="none"/>
                <w:lang w:val="en-US" w:eastAsia="zh-CN"/>
              </w:rPr>
              <w:t>2个、小鼠专用面罩</w:t>
            </w:r>
            <w:r>
              <w:rPr>
                <w:rFonts w:hint="eastAsia" w:ascii="方正仿宋_GBK" w:hAnsi="方正仿宋_GBK" w:eastAsia="方正仿宋_GBK" w:cs="方正仿宋_GBK"/>
                <w:b/>
                <w:bCs/>
                <w:sz w:val="28"/>
                <w:szCs w:val="28"/>
                <w:highlight w:val="none"/>
                <w:lang w:val="en-US" w:eastAsia="zh-CN"/>
              </w:rPr>
              <w:t>≥</w:t>
            </w:r>
            <w:r>
              <w:rPr>
                <w:rFonts w:hint="eastAsia" w:ascii="方正仿宋_GBK" w:hAnsi="方正仿宋_GBK" w:eastAsia="方正仿宋_GBK" w:cs="方正仿宋_GBK"/>
                <w:b/>
                <w:bCs/>
                <w:sz w:val="28"/>
                <w:szCs w:val="28"/>
                <w:highlight w:val="none"/>
                <w:lang w:val="en-US" w:eastAsia="zh-CN"/>
              </w:rPr>
              <w:t>2个、麻醉诱导盒（大小鼠通用）1个、</w:t>
            </w:r>
            <w:r>
              <w:rPr>
                <w:rFonts w:hint="eastAsia" w:ascii="方正仿宋_GBK" w:hAnsi="方正仿宋_GBK" w:eastAsia="方正仿宋_GBK" w:cs="方正仿宋_GBK"/>
                <w:b/>
                <w:bCs/>
                <w:color w:val="auto"/>
                <w:sz w:val="28"/>
                <w:szCs w:val="28"/>
                <w:highlight w:val="none"/>
                <w:lang w:val="en-US" w:eastAsia="zh-CN"/>
              </w:rPr>
              <w:t>可扩展负压型废气清除器1个</w:t>
            </w:r>
            <w:r>
              <w:rPr>
                <w:rFonts w:hint="eastAsia" w:ascii="方正仿宋_GBK" w:hAnsi="方正仿宋_GBK" w:eastAsia="方正仿宋_GBK" w:cs="方正仿宋_GBK"/>
                <w:b/>
                <w:bCs/>
                <w:color w:val="auto"/>
                <w:sz w:val="28"/>
                <w:szCs w:val="28"/>
                <w:highlight w:val="none"/>
                <w:lang w:val="en-US" w:eastAsia="zh-CN"/>
              </w:rPr>
              <w:t>、</w:t>
            </w:r>
            <w:r>
              <w:rPr>
                <w:rFonts w:hint="eastAsia" w:ascii="方正仿宋_GBK" w:hAnsi="方正仿宋_GBK" w:eastAsia="方正仿宋_GBK" w:cs="方正仿宋_GBK"/>
                <w:b/>
                <w:bCs/>
                <w:sz w:val="28"/>
                <w:szCs w:val="28"/>
                <w:highlight w:val="none"/>
                <w:lang w:val="en-US" w:eastAsia="zh-CN"/>
              </w:rPr>
              <w:t>废弃回收罐（活性炭罐）2个</w:t>
            </w:r>
            <w:r>
              <w:rPr>
                <w:rFonts w:hint="eastAsia" w:ascii="方正仿宋_GBK" w:hAnsi="方正仿宋_GBK" w:eastAsia="方正仿宋_GBK" w:cs="方正仿宋_GBK"/>
                <w:b/>
                <w:bCs/>
                <w:sz w:val="28"/>
                <w:szCs w:val="28"/>
                <w:highlight w:val="none"/>
                <w:lang w:val="en-US" w:eastAsia="zh-CN"/>
              </w:rPr>
              <w:t>、便携式空气泵1台、大鼠手术板1个。</w:t>
            </w:r>
          </w:p>
          <w:p w14:paraId="1FF9780D">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二、参数要求：</w:t>
            </w:r>
          </w:p>
          <w:p w14:paraId="023A6E47">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1.</w:t>
            </w:r>
            <w:r>
              <w:rPr>
                <w:rFonts w:hint="eastAsia" w:ascii="方正仿宋_GBK" w:hAnsi="方正仿宋_GBK" w:eastAsia="方正仿宋_GBK" w:cs="方正仿宋_GBK"/>
                <w:b/>
                <w:bCs/>
                <w:color w:val="000000" w:themeColor="text1"/>
                <w:sz w:val="28"/>
                <w:szCs w:val="28"/>
                <w:highlight w:val="none"/>
                <w:lang w:val="en-US" w:eastAsia="zh-CN"/>
                <w14:textFill>
                  <w14:solidFill>
                    <w14:schemeClr w14:val="tx1"/>
                  </w14:solidFill>
                </w14:textFill>
              </w:rPr>
              <w:t>麻醉机主机采用原装进口不锈钢罐体</w:t>
            </w:r>
            <w:r>
              <w:rPr>
                <w:rFonts w:hint="eastAsia" w:ascii="方正仿宋_GBK" w:hAnsi="方正仿宋_GBK" w:eastAsia="方正仿宋_GBK" w:cs="方正仿宋_GBK"/>
                <w:b/>
                <w:bCs/>
                <w:sz w:val="28"/>
                <w:szCs w:val="28"/>
                <w:highlight w:val="none"/>
                <w:lang w:val="en-US" w:eastAsia="zh-CN"/>
              </w:rPr>
              <w:t>，</w:t>
            </w:r>
            <w:r>
              <w:rPr>
                <w:rFonts w:hint="eastAsia" w:ascii="方正仿宋_GBK" w:hAnsi="方正仿宋_GBK" w:eastAsia="方正仿宋_GBK" w:cs="方正仿宋_GBK"/>
                <w:b/>
                <w:bCs/>
                <w:sz w:val="28"/>
                <w:szCs w:val="28"/>
                <w:highlight w:val="none"/>
                <w:lang w:val="en-US" w:eastAsia="zh-CN"/>
              </w:rPr>
              <w:t>符合国内ISO 13485质量认证。</w:t>
            </w:r>
          </w:p>
          <w:p w14:paraId="07BAC81A">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2.异氟烷麻醉挥发罐输出精度为0.1%，输出稳定，具有安全锁定装置，密闭性好，安全可靠，输出浓度0-5%可调。</w:t>
            </w:r>
          </w:p>
          <w:p w14:paraId="7D6CEFF6">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3.用于大鼠、小鼠、裸鼠、豚鼠、兔子、猫等10g至2Kg动物的吸入式麻醉。</w:t>
            </w:r>
          </w:p>
          <w:p w14:paraId="17665F99">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4.转接口灵活可换，兼容国内外绝大多数呼吸机辅助动物呼吸。</w:t>
            </w:r>
          </w:p>
          <w:p w14:paraId="068FE43A">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5.</w:t>
            </w:r>
            <w:r>
              <w:rPr>
                <w:rFonts w:hint="eastAsia" w:ascii="方正仿宋_GBK" w:hAnsi="方正仿宋_GBK" w:eastAsia="方正仿宋_GBK" w:cs="方正仿宋_GBK"/>
                <w:b/>
                <w:bCs/>
                <w:sz w:val="28"/>
                <w:szCs w:val="28"/>
                <w:highlight w:val="none"/>
                <w:lang w:val="en-US" w:eastAsia="zh-CN"/>
              </w:rPr>
              <w:t>麻醉挥发罐</w:t>
            </w:r>
            <w:r>
              <w:rPr>
                <w:rFonts w:hint="eastAsia" w:ascii="方正仿宋_GBK" w:hAnsi="方正仿宋_GBK" w:eastAsia="方正仿宋_GBK" w:cs="方正仿宋_GBK"/>
                <w:b/>
                <w:bCs/>
                <w:sz w:val="28"/>
                <w:szCs w:val="28"/>
                <w:highlight w:val="none"/>
                <w:lang w:val="en-US" w:eastAsia="zh-CN"/>
              </w:rPr>
              <w:t>容量不小于120ml，带流量和温度自动补偿功能。</w:t>
            </w:r>
          </w:p>
          <w:p w14:paraId="6A72483F">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6.具有快速气路切换开关，诱导维持麻醉自由切换。</w:t>
            </w:r>
          </w:p>
          <w:p w14:paraId="05C8D54D">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7.支持可选择氧气、空气、笑气、氙气、氮气等作为供气气源。可选择空气泵、压力钢瓶或制氧机为气源输出端。</w:t>
            </w:r>
          </w:p>
          <w:p w14:paraId="6C416436">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8.原装进口数字放大功能流量计，各通道调节范围：0.1-1L/min，后期可根据需求升级为多通道麻醉机，主流量计升级为不小于5L流量计，每个分通道流量计调节范围0.1-1L/min，每个通道可单独调节麻醉气体流量。</w:t>
            </w:r>
          </w:p>
          <w:p w14:paraId="54B81CA7">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9.配备翻盖式小动物麻醉诱导盒，可以清晰观察麻醉动物的麻醉深度。</w:t>
            </w:r>
          </w:p>
          <w:p w14:paraId="27BB939E">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10.分别提供不少于2个大、小鼠专用面罩。</w:t>
            </w:r>
          </w:p>
          <w:p w14:paraId="737929D0">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11.</w:t>
            </w:r>
            <w:r>
              <w:rPr>
                <w:rFonts w:hint="eastAsia" w:ascii="方正仿宋_GBK" w:hAnsi="方正仿宋_GBK" w:eastAsia="方正仿宋_GBK" w:cs="方正仿宋_GBK"/>
                <w:b/>
                <w:bCs/>
                <w:sz w:val="28"/>
                <w:szCs w:val="28"/>
                <w:highlight w:val="none"/>
                <w:lang w:val="en-US" w:eastAsia="zh-CN"/>
              </w:rPr>
              <w:t>麻醉挥发罐至少有异氟烷和七氟烷两种</w:t>
            </w:r>
            <w:r>
              <w:rPr>
                <w:rFonts w:hint="eastAsia" w:ascii="方正仿宋_GBK" w:hAnsi="方正仿宋_GBK" w:eastAsia="方正仿宋_GBK" w:cs="方正仿宋_GBK"/>
                <w:b/>
                <w:bCs/>
                <w:sz w:val="28"/>
                <w:szCs w:val="28"/>
                <w:highlight w:val="none"/>
                <w:lang w:val="en-US" w:eastAsia="zh-CN"/>
              </w:rPr>
              <w:t>，具有余量导出装置，可以使不用的液体进行再回收。</w:t>
            </w:r>
          </w:p>
          <w:p w14:paraId="614ABE48">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12.</w:t>
            </w:r>
            <w:r>
              <w:rPr>
                <w:rFonts w:hint="eastAsia" w:ascii="方正仿宋_GBK" w:hAnsi="方正仿宋_GBK" w:eastAsia="方正仿宋_GBK" w:cs="方正仿宋_GBK"/>
                <w:b/>
                <w:bCs/>
                <w:color w:val="auto"/>
                <w:sz w:val="28"/>
                <w:szCs w:val="28"/>
                <w:highlight w:val="none"/>
                <w:lang w:val="en-US" w:eastAsia="zh-CN"/>
              </w:rPr>
              <w:t>可扩展负压型废气清除器</w:t>
            </w:r>
            <w:r>
              <w:rPr>
                <w:rFonts w:hint="eastAsia" w:ascii="方正仿宋_GBK" w:hAnsi="方正仿宋_GBK" w:eastAsia="方正仿宋_GBK" w:cs="方正仿宋_GBK"/>
                <w:b/>
                <w:bCs/>
                <w:sz w:val="28"/>
                <w:szCs w:val="28"/>
                <w:highlight w:val="none"/>
                <w:lang w:val="en-US" w:eastAsia="zh-CN"/>
              </w:rPr>
              <w:t>，大容量设计，储量可达3500ml以上，一次装粉可吸收300g以上的麻醉废气；清除器噪音小于20dBA，配备内外双层麻醉面罩，可实现对超过95%麻醉废气的清除；废气清除器连续工作时间大于1500min；</w:t>
            </w:r>
          </w:p>
          <w:p w14:paraId="326E8C28">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13.玻璃透明大视野观察舱，更为方便观察药量。</w:t>
            </w:r>
          </w:p>
          <w:p w14:paraId="6A29F69D">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14.一瓶100ml麻醉</w:t>
            </w:r>
            <w:r>
              <w:rPr>
                <w:rFonts w:hint="eastAsia" w:ascii="方正仿宋_GBK" w:hAnsi="方正仿宋_GBK" w:eastAsia="方正仿宋_GBK" w:cs="方正仿宋_GBK"/>
                <w:b/>
                <w:bCs/>
                <w:color w:val="000000" w:themeColor="text1"/>
                <w:sz w:val="28"/>
                <w:szCs w:val="28"/>
                <w:highlight w:val="none"/>
                <w:lang w:val="en-US" w:eastAsia="zh-CN"/>
                <w14:textFill>
                  <w14:solidFill>
                    <w14:schemeClr w14:val="tx1"/>
                  </w14:solidFill>
                </w14:textFill>
              </w:rPr>
              <w:t>剂</w:t>
            </w:r>
            <w:r>
              <w:rPr>
                <w:rFonts w:hint="eastAsia" w:ascii="方正仿宋_GBK" w:hAnsi="方正仿宋_GBK" w:eastAsia="方正仿宋_GBK" w:cs="方正仿宋_GBK"/>
                <w:b/>
                <w:bCs/>
                <w:sz w:val="28"/>
                <w:szCs w:val="28"/>
                <w:highlight w:val="none"/>
                <w:lang w:val="en-US" w:eastAsia="zh-CN"/>
              </w:rPr>
              <w:t>小鼠可以使用24小时以上。</w:t>
            </w:r>
          </w:p>
          <w:p w14:paraId="716D12BF">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15.可以在国内实现</w:t>
            </w:r>
            <w:r>
              <w:rPr>
                <w:rFonts w:hint="eastAsia" w:ascii="方正仿宋_GBK" w:hAnsi="方正仿宋_GBK" w:eastAsia="方正仿宋_GBK" w:cs="方正仿宋_GBK"/>
                <w:b/>
                <w:bCs/>
                <w:color w:val="000000" w:themeColor="text1"/>
                <w:sz w:val="28"/>
                <w:szCs w:val="28"/>
                <w:highlight w:val="none"/>
                <w:lang w:val="en-US" w:eastAsia="zh-CN"/>
                <w14:textFill>
                  <w14:solidFill>
                    <w14:schemeClr w14:val="tx1"/>
                  </w14:solidFill>
                </w14:textFill>
              </w:rPr>
              <w:t>麻醉挥发罐</w:t>
            </w:r>
            <w:r>
              <w:rPr>
                <w:rFonts w:hint="eastAsia" w:ascii="方正仿宋_GBK" w:hAnsi="方正仿宋_GBK" w:eastAsia="方正仿宋_GBK" w:cs="方正仿宋_GBK"/>
                <w:b/>
                <w:bCs/>
                <w:sz w:val="28"/>
                <w:szCs w:val="28"/>
                <w:highlight w:val="none"/>
                <w:lang w:val="en-US" w:eastAsia="zh-CN"/>
              </w:rPr>
              <w:t>校准服务，提供校准方案。</w:t>
            </w:r>
          </w:p>
          <w:p w14:paraId="48A4E58A">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16.</w:t>
            </w:r>
            <w:r>
              <w:rPr>
                <w:rFonts w:hint="eastAsia" w:ascii="方正仿宋_GBK" w:hAnsi="方正仿宋_GBK" w:eastAsia="方正仿宋_GBK" w:cs="方正仿宋_GBK"/>
                <w:b/>
                <w:bCs/>
                <w:sz w:val="28"/>
                <w:szCs w:val="28"/>
                <w:highlight w:val="none"/>
                <w:lang w:val="en-US" w:eastAsia="zh-CN"/>
              </w:rPr>
              <w:t>废弃回收罐（活性炭罐）</w:t>
            </w:r>
            <w:r>
              <w:rPr>
                <w:rFonts w:hint="eastAsia" w:ascii="方正仿宋_GBK" w:hAnsi="方正仿宋_GBK" w:eastAsia="方正仿宋_GBK" w:cs="方正仿宋_GBK"/>
                <w:b/>
                <w:bCs/>
                <w:sz w:val="28"/>
                <w:szCs w:val="28"/>
                <w:highlight w:val="none"/>
                <w:lang w:val="en-US" w:eastAsia="zh-CN"/>
              </w:rPr>
              <w:t>为可重复使用设计，方便更换活性炭粉。</w:t>
            </w:r>
          </w:p>
        </w:tc>
        <w:tc>
          <w:tcPr>
            <w:tcW w:w="1071" w:type="pct"/>
            <w:shd w:val="clear" w:color="auto" w:fill="auto"/>
            <w:vAlign w:val="center"/>
          </w:tcPr>
          <w:p w14:paraId="5C28C1CF">
            <w:pPr>
              <w:pStyle w:val="25"/>
              <w:numPr>
                <w:ilvl w:val="0"/>
                <w:numId w:val="0"/>
              </w:numPr>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 xml:space="preserve">用于外科手术或侵入性实验的动物气体麻醉，以实现快速麻醉及减少实验人员的操作步骤和对实验动物的药物损害。 </w:t>
            </w: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w:t>
      </w:r>
    </w:p>
    <w:p w14:paraId="214CB0E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1.提供工商行政管理部门核发的有效企业法人营业执照；</w:t>
      </w:r>
    </w:p>
    <w:p w14:paraId="032771F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2.按照国家有关法律法规规定。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2164B7B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本项目总价最高限价为16000元。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包括但不限于麻醉机及所有相关配件货款、运输装卸、质保期维护保养费（含易损件更换）、资料装订及邮寄费、税费、保险费、验收检测费等完成本项目所需的一切费用。因成交供应商自身原因造成漏报、少报皆由其自行承担责任，采购人不再补偿。</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中选后，一般情况接采购人通知后3天完成产品送货及安装调试，特殊情况7天完成。</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282F4BB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验收合格后据实结算；付款时供应商提供发票、验收单、送货单等。</w:t>
      </w:r>
    </w:p>
    <w:p w14:paraId="12E716C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7D4B38C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外观、配置、规格等参数符合招标文件要求作为初步验收，初步验收无异常由供应商进行安装调试，安装调试后试运行1个月无异常才作为最终验收。验收及使用中发现产品质量争议按照验收争议进行处理；验收争议时由采购人邀请第三方机构检测，费用由供应商承担。</w:t>
      </w:r>
    </w:p>
    <w:p w14:paraId="7AB7578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6.配套服务</w:t>
      </w:r>
    </w:p>
    <w:p w14:paraId="3850871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（1）生产日期要求：供应商提供的所有产品须为生产日期1年以内的全新产品。</w:t>
      </w:r>
    </w:p>
    <w:p w14:paraId="09E8411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（2）质保要求：产品质保期不少于1年，质保期内非人为损坏免费更换或维修，维修为原厂配件；供应商书面承诺</w:t>
      </w:r>
      <w:r>
        <w:rPr>
          <w:rFonts w:hint="eastAsia" w:ascii="方正仿宋_GBK" w:hAnsi="方正仿宋_GBK" w:eastAsia="方正仿宋_GBK" w:cs="方正仿宋_GBK"/>
          <w:color w:val="auto"/>
          <w:kern w:val="0"/>
          <w:sz w:val="32"/>
          <w:szCs w:val="32"/>
          <w:highlight w:val="none"/>
          <w:lang w:val="en-US" w:eastAsia="zh-CN"/>
        </w:rPr>
        <w:t>质保期满后维保价格不高于1500元，并提供设备相关易损件的单独报价。</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（3）故障响应：产品出现任何故障，供应商应30分钟提供电话响应，4小时到达医院处置。</w:t>
      </w:r>
    </w:p>
    <w:p w14:paraId="5E90119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w:t>
      </w:r>
      <w:r>
        <w:rPr>
          <w:rFonts w:hint="eastAsia" w:ascii="方正仿宋_GBK" w:hAnsi="方正仿宋_GBK" w:eastAsia="方正仿宋_GBK" w:cs="方正仿宋_GBK"/>
          <w:b w:val="0"/>
          <w:bCs w:val="0"/>
          <w:color w:val="auto"/>
          <w:kern w:val="0"/>
          <w:sz w:val="32"/>
          <w:szCs w:val="32"/>
          <w:highlight w:val="none"/>
          <w:lang w:val="en-US" w:eastAsia="zh-CN"/>
        </w:rPr>
        <w:t>培训要求：</w:t>
      </w:r>
      <w:r>
        <w:rPr>
          <w:rFonts w:hint="eastAsia" w:ascii="方正仿宋_GBK" w:hAnsi="方正仿宋_GBK" w:eastAsia="方正仿宋_GBK" w:cs="方正仿宋_GBK"/>
          <w:color w:val="auto"/>
          <w:kern w:val="0"/>
          <w:sz w:val="32"/>
          <w:szCs w:val="32"/>
          <w:highlight w:val="none"/>
          <w:lang w:val="en-US" w:eastAsia="zh-CN"/>
        </w:rPr>
        <w:t>产品投入使用前，应对具体使用人进行至少1次培训。</w:t>
      </w:r>
    </w:p>
    <w:p w14:paraId="053B91F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7.踏勘现场</w:t>
      </w:r>
    </w:p>
    <w:p w14:paraId="5933F2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采购人不组织现场踏勘，供应商自行现场踏勘充分了解项目位置、运行情况、周边环境、装卸限制及任何其他足以影响磋商报价的情况，任何因忽视或误解项目情况而导致的产品或配套服务不达标的，供应商自行承担相关责任。踏勘现场时发生的安全责任事故和相关费用由供应商自行承担责任，项目实施时不得影响周边居民的正常生活。</w:t>
      </w:r>
    </w:p>
    <w:p w14:paraId="1E4ACEA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8.履约保证金</w:t>
      </w:r>
    </w:p>
    <w:p w14:paraId="205DEA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9.违约责任</w:t>
      </w:r>
    </w:p>
    <w:p w14:paraId="45B5635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供应商未按采购人要求时限送</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货，每延迟1日，供应商应向采购人支付合同总金额千分之三的违约金，超过20日未能交付，采购人有权单方面解除合同，并要求供应商承担合同总额30%的违约金；项目验收不合格或使用中发现产品质量缺陷，采购人有权要求供应商整改，整改期限为10日，整改期限届满仍未完成的供应商每日支付合同总金额千分之三的违约金，超过20日未能完成整改</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承担合同总额30%的违约金，已经付款的供应商应全款退还采购人已经支付的款项；供应商提供产品须均为全新正规合格产品，若发现/鉴定为假冒伪劣产品或发生与产品质量相关的不良事件，除免费更换全批次产品外，供应商应承担所有鉴定费用并每次扣罚产品金额2倍的违约金，如对采购人造成损失应承担全部法律责任及赔偿责任；</w:t>
      </w:r>
      <w:r>
        <w:rPr>
          <w:rFonts w:hint="eastAsia" w:ascii="方正仿宋_GBK" w:hAnsi="方正仿宋_GBK" w:eastAsia="方正仿宋_GBK" w:cs="方正仿宋_GBK"/>
          <w:color w:val="auto"/>
          <w:kern w:val="0"/>
          <w:sz w:val="32"/>
          <w:szCs w:val="32"/>
          <w:highlight w:val="none"/>
          <w:lang w:val="en-US" w:eastAsia="zh-CN"/>
        </w:rPr>
        <w:t>未按配套服务要求提供服务的，供应商将承担200元/次的违约金。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提供虚假书面材料的(如:资质文件、合格证明等);②供应商未遵守《廉洁购销合同》相关条款的;③合同有效期内,未经采购人同意,供应商擅自变更公司名称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供应商及其提供服务发生泄漏医院数据的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供应商提供的产品有质量或安全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w:t>
      </w:r>
      <w:r>
        <w:rPr>
          <w:rFonts w:hint="eastAsia" w:ascii="方正仿宋_GBK" w:hAnsi="方正仿宋_GBK" w:eastAsia="方正仿宋_GBK" w:cs="方正仿宋_GBK"/>
          <w:color w:val="auto"/>
          <w:sz w:val="32"/>
          <w:szCs w:val="32"/>
          <w:highlight w:val="none"/>
          <w:lang w:val="en-US" w:eastAsia="zh-CN"/>
        </w:rPr>
        <w:t>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11.中选标准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12.其他要求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07F496AA">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12.质保期届满后易损配件报价</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4</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3471527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1.提供工商行政管理部门核发的有效企业法人营业执照；</w:t>
      </w:r>
    </w:p>
    <w:p w14:paraId="3A1EEC2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2.按照国家有关法律法规规定。</w:t>
      </w:r>
    </w:p>
    <w:p w14:paraId="6D942673">
      <w:pP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75017344"/>
      <w:bookmarkStart w:id="1" w:name="_Toc128229747"/>
      <w:bookmarkStart w:id="2" w:name="_Toc128014297"/>
      <w:bookmarkStart w:id="3" w:name="_Toc173677399"/>
      <w:bookmarkStart w:id="4" w:name="_Toc237057793"/>
      <w:bookmarkStart w:id="5" w:name="_Toc156196472"/>
      <w:bookmarkStart w:id="6" w:name="_Toc128229304"/>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4B084964">
      <w:pPr>
        <w:pStyle w:val="9"/>
        <w:numPr>
          <w:ilvl w:val="0"/>
          <w:numId w:val="4"/>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愿意按照询价采购文件中的一切要求，提供本项目的产品，按照产品总价报价为人民币大写：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p>
    <w:p w14:paraId="3B421839">
      <w:pPr>
        <w:pStyle w:val="9"/>
        <w:numPr>
          <w:ilvl w:val="0"/>
          <w:numId w:val="4"/>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64A934D8">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ind w:firstLine="556" w:firstLineChars="200"/>
              <w:rPr>
                <w:rFonts w:hint="eastAsia" w:ascii="方正仿宋_GBK" w:eastAsia="方正仿宋_GBK"/>
                <w:sz w:val="30"/>
                <w:szCs w:val="30"/>
                <w:highlight w:val="none"/>
              </w:rPr>
            </w:pP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2EFC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C18EB3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A1831D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A5E7EB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91DFA7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B67D6BB">
            <w:pPr>
              <w:spacing w:line="594" w:lineRule="exact"/>
              <w:ind w:firstLine="556" w:firstLineChars="200"/>
              <w:rPr>
                <w:rFonts w:hint="eastAsia" w:ascii="方正仿宋_GBK" w:eastAsia="方正仿宋_GBK"/>
                <w:sz w:val="30"/>
                <w:szCs w:val="30"/>
                <w:highlight w:val="none"/>
              </w:rPr>
            </w:pPr>
          </w:p>
        </w:tc>
      </w:tr>
      <w:tr w14:paraId="4658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9371C10">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A012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032637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17F92F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AA35C12">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numPr>
          <w:ilvl w:val="0"/>
          <w:numId w:val="5"/>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DF42BC">
      <w:pPr>
        <w:numPr>
          <w:ilvl w:val="0"/>
          <w:numId w:val="5"/>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1E50D469">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本产品其他采购人的业绩资料（如合同或发票等）。</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w:t>
      </w:r>
      <w:r>
        <w:rPr>
          <w:rFonts w:hint="eastAsia" w:ascii="仿宋_GB2312" w:hAnsi="宋体" w:eastAsia="仿宋_GB2312" w:cs="宋体"/>
          <w:kern w:val="2"/>
          <w:sz w:val="32"/>
          <w:szCs w:val="32"/>
          <w:highlight w:val="none"/>
          <w:lang w:val="en-US" w:eastAsia="zh-CN" w:bidi="ar-SA"/>
        </w:rPr>
        <w:t>产品说明书、检验检测报告</w:t>
      </w:r>
      <w:r>
        <w:rPr>
          <w:rFonts w:hint="eastAsia" w:ascii="仿宋_GB2312" w:eastAsia="仿宋_GB2312" w:cs="宋体"/>
          <w:color w:val="auto"/>
          <w:sz w:val="32"/>
          <w:szCs w:val="32"/>
          <w:highlight w:val="none"/>
          <w:lang w:val="en-US" w:eastAsia="zh-CN"/>
        </w:rPr>
        <w:t>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、响应时</w:t>
      </w:r>
      <w:r>
        <w:rPr>
          <w:rFonts w:hint="eastAsia" w:ascii="微软雅黑" w:hAnsi="微软雅黑" w:eastAsia="微软雅黑" w:cs="宋体"/>
          <w:sz w:val="30"/>
          <w:szCs w:val="30"/>
          <w:highlight w:val="none"/>
        </w:rPr>
        <w:t>间</w:t>
      </w:r>
      <w:r>
        <w:rPr>
          <w:rFonts w:hint="eastAsia" w:ascii="微软雅黑" w:hAnsi="微软雅黑" w:eastAsia="微软雅黑" w:cs="宋体"/>
          <w:sz w:val="30"/>
          <w:szCs w:val="30"/>
          <w:highlight w:val="none"/>
          <w:lang w:eastAsia="zh-CN"/>
        </w:rPr>
        <w:t>、培训要求</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5605D790">
      <w:pPr>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br w:type="page"/>
      </w:r>
    </w:p>
    <w:p w14:paraId="59847473">
      <w:pPr>
        <w:spacing w:line="594" w:lineRule="exact"/>
        <w:jc w:val="left"/>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质保期届满后易损配件报价</w:t>
      </w:r>
    </w:p>
    <w:p w14:paraId="340D6F09">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易损</w:t>
      </w:r>
      <w:r>
        <w:rPr>
          <w:rFonts w:hint="eastAsia" w:ascii="微软雅黑" w:hAnsi="微软雅黑" w:eastAsia="微软雅黑" w:cs="___WRD_EMBED_SUB_53"/>
          <w:b/>
          <w:bCs/>
          <w:sz w:val="32"/>
          <w:szCs w:val="32"/>
          <w:highlight w:val="none"/>
        </w:rPr>
        <w:t>件维修更换价格</w:t>
      </w:r>
      <w:r>
        <w:rPr>
          <w:rFonts w:hint="eastAsia" w:ascii="微软雅黑" w:hAnsi="微软雅黑" w:eastAsia="微软雅黑" w:cs="宋体"/>
          <w:b/>
          <w:bCs/>
          <w:sz w:val="32"/>
          <w:szCs w:val="32"/>
          <w:highlight w:val="none"/>
        </w:rPr>
        <w:t>表</w:t>
      </w:r>
    </w:p>
    <w:p w14:paraId="0EF4AC8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设备</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单</w:t>
      </w:r>
      <w:r>
        <w:rPr>
          <w:rFonts w:hint="eastAsia" w:ascii="微软雅黑" w:hAnsi="微软雅黑" w:eastAsia="微软雅黑" w:cs="宋体"/>
          <w:sz w:val="30"/>
          <w:szCs w:val="30"/>
          <w:highlight w:val="none"/>
        </w:rPr>
        <w:t>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元</w:t>
      </w:r>
    </w:p>
    <w:tbl>
      <w:tblPr>
        <w:tblStyle w:val="13"/>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18ED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765C225D">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配件</w:t>
            </w:r>
            <w:r>
              <w:rPr>
                <w:rFonts w:hint="eastAsia" w:ascii="微软雅黑" w:hAnsi="微软雅黑" w:eastAsia="微软雅黑" w:cs="宋体"/>
                <w:kern w:val="0"/>
                <w:sz w:val="30"/>
                <w:szCs w:val="30"/>
                <w:highlight w:val="none"/>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4ED5A522">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规</w:t>
            </w:r>
            <w:r>
              <w:rPr>
                <w:rFonts w:hint="eastAsia" w:ascii="微软雅黑" w:hAnsi="微软雅黑" w:eastAsia="微软雅黑" w:cs="___WRD_EMBED_SUB_53"/>
                <w:kern w:val="0"/>
                <w:sz w:val="30"/>
                <w:szCs w:val="30"/>
                <w:highlight w:val="none"/>
              </w:rPr>
              <w:t>格</w:t>
            </w:r>
            <w:r>
              <w:rPr>
                <w:rFonts w:hint="eastAsia" w:ascii="微软雅黑" w:hAnsi="微软雅黑" w:eastAsia="微软雅黑" w:cs="宋体"/>
                <w:kern w:val="0"/>
                <w:sz w:val="30"/>
                <w:szCs w:val="30"/>
                <w:highlight w:val="none"/>
              </w:rPr>
              <w:t>型</w:t>
            </w:r>
            <w:r>
              <w:rPr>
                <w:rFonts w:hint="eastAsia" w:ascii="微软雅黑" w:hAnsi="微软雅黑" w:eastAsia="微软雅黑" w:cs="___WRD_EMBED_SUB_53"/>
                <w:kern w:val="0"/>
                <w:sz w:val="30"/>
                <w:szCs w:val="30"/>
                <w:highlight w:val="none"/>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D2EE714">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单</w:t>
            </w:r>
            <w:r>
              <w:rPr>
                <w:rFonts w:hint="eastAsia" w:ascii="微软雅黑" w:hAnsi="微软雅黑" w:eastAsia="微软雅黑" w:cs="宋体"/>
                <w:kern w:val="0"/>
                <w:sz w:val="30"/>
                <w:szCs w:val="30"/>
                <w:highlight w:val="none"/>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3BC6C365">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71F5C28F">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折</w:t>
            </w:r>
            <w:r>
              <w:rPr>
                <w:rFonts w:hint="eastAsia" w:ascii="微软雅黑" w:hAnsi="微软雅黑" w:eastAsia="微软雅黑" w:cs="___WRD_EMBED_SUB_53"/>
                <w:kern w:val="0"/>
                <w:sz w:val="30"/>
                <w:szCs w:val="30"/>
                <w:highlight w:val="none"/>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4C0B9ACE">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备</w:t>
            </w:r>
            <w:r>
              <w:rPr>
                <w:rFonts w:hint="eastAsia" w:ascii="微软雅黑" w:hAnsi="微软雅黑" w:eastAsia="微软雅黑" w:cs="宋体"/>
                <w:kern w:val="0"/>
                <w:sz w:val="30"/>
                <w:szCs w:val="30"/>
                <w:highlight w:val="none"/>
              </w:rPr>
              <w:t>注</w:t>
            </w:r>
          </w:p>
        </w:tc>
      </w:tr>
      <w:tr w14:paraId="222E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697844B0">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497AB0B2">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BCE4782">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0E7A04B4">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109D95E2">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54BA01AC">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4C9B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52A1964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原厂</w:t>
            </w:r>
            <w:r>
              <w:rPr>
                <w:rFonts w:hint="eastAsia" w:ascii="微软雅黑" w:hAnsi="微软雅黑" w:eastAsia="微软雅黑" w:cs="宋体"/>
                <w:kern w:val="0"/>
                <w:sz w:val="28"/>
                <w:szCs w:val="28"/>
                <w:highlight w:val="none"/>
              </w:rPr>
              <w:t>零</w:t>
            </w:r>
            <w:r>
              <w:rPr>
                <w:rFonts w:hint="eastAsia" w:ascii="微软雅黑" w:hAnsi="微软雅黑" w:eastAsia="微软雅黑" w:cs="___WRD_EMBED_SUB_53"/>
                <w:kern w:val="0"/>
                <w:sz w:val="28"/>
                <w:szCs w:val="28"/>
                <w:highlight w:val="none"/>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680AF277">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981078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cs="宋体"/>
                <w:kern w:val="0"/>
                <w:sz w:val="28"/>
                <w:szCs w:val="28"/>
                <w:highlight w:val="none"/>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5C669732">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38B99E2B">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24EA517">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7663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5005C96">
            <w:pPr>
              <w:spacing w:line="594" w:lineRule="exact"/>
              <w:ind w:firstLine="600" w:firstLineChars="200"/>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w:t>
            </w:r>
          </w:p>
        </w:tc>
        <w:tc>
          <w:tcPr>
            <w:tcW w:w="1530" w:type="dxa"/>
            <w:tcBorders>
              <w:top w:val="single" w:color="auto" w:sz="4" w:space="0"/>
              <w:left w:val="single" w:color="auto" w:sz="4" w:space="0"/>
              <w:bottom w:val="single" w:color="auto" w:sz="4" w:space="0"/>
              <w:right w:val="single" w:color="auto" w:sz="4" w:space="0"/>
            </w:tcBorders>
            <w:vAlign w:val="top"/>
          </w:tcPr>
          <w:p w14:paraId="77DCE479">
            <w:pPr>
              <w:spacing w:line="594" w:lineRule="exact"/>
              <w:ind w:firstLine="600" w:firstLineChars="200"/>
              <w:rPr>
                <w:rFonts w:hint="eastAsia" w:ascii="微软雅黑" w:hAnsi="微软雅黑" w:eastAsia="微软雅黑"/>
                <w:kern w:val="0"/>
                <w:sz w:val="30"/>
                <w:szCs w:val="30"/>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759F97F6">
            <w:pPr>
              <w:spacing w:line="594" w:lineRule="exact"/>
              <w:ind w:firstLine="600" w:firstLineChars="200"/>
              <w:rPr>
                <w:rFonts w:hint="eastAsia" w:ascii="微软雅黑" w:hAnsi="微软雅黑" w:eastAsia="微软雅黑"/>
                <w:kern w:val="0"/>
                <w:sz w:val="30"/>
                <w:szCs w:val="30"/>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31410442">
            <w:pPr>
              <w:spacing w:line="594" w:lineRule="exact"/>
              <w:ind w:firstLine="600" w:firstLineChars="200"/>
              <w:rPr>
                <w:rFonts w:hint="eastAsia" w:ascii="微软雅黑" w:hAnsi="微软雅黑" w:eastAsia="微软雅黑"/>
                <w:kern w:val="0"/>
                <w:sz w:val="30"/>
                <w:szCs w:val="30"/>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F8A3DDF">
            <w:pPr>
              <w:spacing w:line="594" w:lineRule="exact"/>
              <w:ind w:firstLine="600" w:firstLineChars="200"/>
              <w:rPr>
                <w:rFonts w:hint="eastAsia" w:ascii="微软雅黑" w:hAnsi="微软雅黑" w:eastAsia="微软雅黑"/>
                <w:kern w:val="0"/>
                <w:sz w:val="30"/>
                <w:szCs w:val="30"/>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10884C53">
            <w:pPr>
              <w:spacing w:line="594" w:lineRule="exact"/>
              <w:ind w:firstLine="600" w:firstLineChars="200"/>
              <w:rPr>
                <w:rFonts w:hint="eastAsia" w:ascii="微软雅黑" w:hAnsi="微软雅黑" w:eastAsia="微软雅黑"/>
                <w:kern w:val="0"/>
                <w:sz w:val="30"/>
                <w:szCs w:val="30"/>
                <w:highlight w:val="none"/>
              </w:rPr>
            </w:pPr>
          </w:p>
        </w:tc>
      </w:tr>
      <w:tr w14:paraId="5EEE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5981F918">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6054778E">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00CDA77">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0C3A3C71">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6B9DD0F">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345D98BD">
            <w:pPr>
              <w:spacing w:line="594" w:lineRule="exact"/>
              <w:ind w:firstLine="640" w:firstLineChars="200"/>
              <w:rPr>
                <w:rFonts w:hint="eastAsia" w:ascii="方正仿宋_GBK" w:eastAsia="方正仿宋_GBK"/>
                <w:kern w:val="0"/>
                <w:sz w:val="32"/>
                <w:szCs w:val="32"/>
                <w:highlight w:val="none"/>
              </w:rPr>
            </w:pPr>
          </w:p>
        </w:tc>
      </w:tr>
      <w:tr w14:paraId="25CA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09622131">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33765A38">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8FB6DD4">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7CE55DE9">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560CE370">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56FE9CEF">
            <w:pPr>
              <w:spacing w:line="594" w:lineRule="exact"/>
              <w:ind w:firstLine="640" w:firstLineChars="200"/>
              <w:rPr>
                <w:rFonts w:hint="eastAsia" w:ascii="方正仿宋_GBK" w:eastAsia="方正仿宋_GBK"/>
                <w:kern w:val="0"/>
                <w:sz w:val="32"/>
                <w:szCs w:val="32"/>
                <w:highlight w:val="none"/>
              </w:rPr>
            </w:pPr>
          </w:p>
        </w:tc>
      </w:tr>
    </w:tbl>
    <w:p w14:paraId="2DCD05EF">
      <w:pPr>
        <w:spacing w:line="594" w:lineRule="exact"/>
        <w:ind w:firstLine="640" w:firstLineChars="200"/>
        <w:rPr>
          <w:rFonts w:hint="default" w:ascii="方正仿宋_GBK" w:eastAsia="方正仿宋_GBK"/>
          <w:sz w:val="32"/>
          <w:szCs w:val="32"/>
          <w:highlight w:val="none"/>
          <w:lang w:val="en-US" w:eastAsia="zh-CN"/>
        </w:rPr>
      </w:pPr>
      <w:r>
        <w:rPr>
          <w:rFonts w:hint="eastAsia" w:ascii="方正仿宋_GBK" w:eastAsia="方正仿宋_GBK"/>
          <w:sz w:val="32"/>
          <w:szCs w:val="32"/>
          <w:highlight w:val="none"/>
          <w:lang w:val="en-US" w:eastAsia="zh-CN"/>
        </w:rPr>
        <w:t>注：清单内产品的价格供应商应承诺为重庆市最低价格。</w:t>
      </w:r>
    </w:p>
    <w:p w14:paraId="58590D54">
      <w:pPr>
        <w:pStyle w:val="5"/>
        <w:jc w:val="center"/>
        <w:rPr>
          <w:rFonts w:hint="eastAsia" w:ascii="仿宋_GB2312" w:hAnsi="宋体" w:eastAsia="仿宋_GB2312"/>
          <w:b/>
          <w:snapToGrid w:val="0"/>
          <w:color w:val="auto"/>
          <w:kern w:val="0"/>
          <w:sz w:val="40"/>
          <w:szCs w:val="28"/>
          <w:highlight w:val="none"/>
          <w:lang w:val="en-US" w:eastAsia="zh-CN"/>
        </w:rPr>
      </w:pPr>
    </w:p>
    <w:p w14:paraId="548E449D">
      <w:pPr>
        <w:pStyle w:val="5"/>
        <w:jc w:val="center"/>
        <w:rPr>
          <w:rFonts w:hint="eastAsia" w:ascii="仿宋_GB2312" w:hAnsi="宋体" w:eastAsia="仿宋_GB2312"/>
          <w:b/>
          <w:snapToGrid w:val="0"/>
          <w:color w:val="auto"/>
          <w:kern w:val="0"/>
          <w:sz w:val="40"/>
          <w:szCs w:val="28"/>
          <w:highlight w:val="none"/>
          <w:lang w:val="en-US" w:eastAsia="zh-CN"/>
        </w:rPr>
      </w:pPr>
    </w:p>
    <w:p w14:paraId="7E474073">
      <w:pPr>
        <w:pStyle w:val="5"/>
        <w:jc w:val="center"/>
        <w:rPr>
          <w:rFonts w:hint="eastAsia" w:ascii="仿宋_GB2312" w:hAnsi="宋体" w:eastAsia="仿宋_GB2312"/>
          <w:b/>
          <w:snapToGrid w:val="0"/>
          <w:color w:val="auto"/>
          <w:kern w:val="0"/>
          <w:sz w:val="40"/>
          <w:szCs w:val="28"/>
          <w:highlight w:val="none"/>
          <w:lang w:val="en-US" w:eastAsia="zh-CN"/>
        </w:rPr>
      </w:pPr>
    </w:p>
    <w:p w14:paraId="4FBD543E">
      <w:pPr>
        <w:pStyle w:val="5"/>
        <w:jc w:val="center"/>
        <w:rPr>
          <w:rFonts w:hint="eastAsia" w:ascii="仿宋_GB2312" w:hAnsi="宋体" w:eastAsia="仿宋_GB2312"/>
          <w:b/>
          <w:snapToGrid w:val="0"/>
          <w:color w:val="auto"/>
          <w:kern w:val="0"/>
          <w:sz w:val="40"/>
          <w:szCs w:val="28"/>
          <w:highlight w:val="none"/>
          <w:lang w:val="en-US" w:eastAsia="zh-CN"/>
        </w:rPr>
      </w:pPr>
    </w:p>
    <w:p w14:paraId="357C2E24">
      <w:pPr>
        <w:pStyle w:val="5"/>
        <w:jc w:val="center"/>
        <w:rPr>
          <w:rFonts w:hint="eastAsia" w:ascii="仿宋_GB2312" w:hAnsi="宋体" w:eastAsia="仿宋_GB2312"/>
          <w:b/>
          <w:snapToGrid w:val="0"/>
          <w:color w:val="auto"/>
          <w:kern w:val="0"/>
          <w:sz w:val="40"/>
          <w:szCs w:val="28"/>
          <w:highlight w:val="none"/>
          <w:lang w:val="en-US" w:eastAsia="zh-CN"/>
        </w:rPr>
      </w:pPr>
    </w:p>
    <w:p w14:paraId="08C0E77C">
      <w:pPr>
        <w:pStyle w:val="5"/>
        <w:jc w:val="center"/>
        <w:rPr>
          <w:rFonts w:hint="eastAsia" w:ascii="仿宋_GB2312" w:hAnsi="宋体" w:eastAsia="仿宋_GB2312"/>
          <w:b/>
          <w:snapToGrid w:val="0"/>
          <w:color w:val="auto"/>
          <w:kern w:val="0"/>
          <w:sz w:val="40"/>
          <w:szCs w:val="28"/>
          <w:highlight w:val="none"/>
          <w:lang w:val="en-US" w:eastAsia="zh-CN"/>
        </w:rPr>
      </w:pPr>
    </w:p>
    <w:p w14:paraId="4C9CF605">
      <w:pPr>
        <w:pStyle w:val="5"/>
        <w:jc w:val="center"/>
        <w:rPr>
          <w:rFonts w:hint="eastAsia" w:ascii="仿宋_GB2312" w:hAnsi="宋体" w:eastAsia="仿宋_GB2312"/>
          <w:b/>
          <w:snapToGrid w:val="0"/>
          <w:color w:val="auto"/>
          <w:kern w:val="0"/>
          <w:sz w:val="40"/>
          <w:szCs w:val="28"/>
          <w:highlight w:val="none"/>
          <w:lang w:val="en-US" w:eastAsia="zh-CN"/>
        </w:rPr>
      </w:pPr>
    </w:p>
    <w:p w14:paraId="22F05F0D">
      <w:pPr>
        <w:pStyle w:val="5"/>
        <w:jc w:val="center"/>
        <w:rPr>
          <w:rFonts w:hint="eastAsia" w:ascii="仿宋_GB2312" w:hAnsi="宋体" w:eastAsia="仿宋_GB2312"/>
          <w:b/>
          <w:snapToGrid w:val="0"/>
          <w:color w:val="auto"/>
          <w:kern w:val="0"/>
          <w:sz w:val="40"/>
          <w:szCs w:val="28"/>
          <w:highlight w:val="none"/>
          <w:lang w:val="en-US" w:eastAsia="zh-CN"/>
        </w:rPr>
      </w:pPr>
    </w:p>
    <w:p w14:paraId="0DE44921">
      <w:pPr>
        <w:pStyle w:val="5"/>
        <w:jc w:val="center"/>
        <w:rPr>
          <w:rFonts w:hint="eastAsia" w:ascii="仿宋_GB2312" w:hAnsi="宋体" w:eastAsia="仿宋_GB2312"/>
          <w:b/>
          <w:snapToGrid w:val="0"/>
          <w:color w:val="auto"/>
          <w:kern w:val="0"/>
          <w:sz w:val="40"/>
          <w:szCs w:val="28"/>
          <w:highlight w:val="none"/>
          <w:lang w:val="en-US" w:eastAsia="zh-CN"/>
        </w:rPr>
      </w:pPr>
    </w:p>
    <w:p w14:paraId="19C173A6">
      <w:pPr>
        <w:pStyle w:val="5"/>
        <w:jc w:val="center"/>
        <w:rPr>
          <w:rFonts w:hint="eastAsia" w:ascii="仿宋_GB2312" w:hAnsi="宋体" w:eastAsia="仿宋_GB2312"/>
          <w:b/>
          <w:snapToGrid w:val="0"/>
          <w:color w:val="auto"/>
          <w:kern w:val="0"/>
          <w:sz w:val="40"/>
          <w:szCs w:val="28"/>
          <w:highlight w:val="none"/>
          <w:lang w:val="en-US" w:eastAsia="zh-CN"/>
        </w:rPr>
      </w:pPr>
    </w:p>
    <w:p w14:paraId="458FAB8D">
      <w:pPr>
        <w:pStyle w:val="5"/>
        <w:jc w:val="center"/>
        <w:rPr>
          <w:rFonts w:hint="eastAsia" w:ascii="仿宋_GB2312" w:hAnsi="宋体" w:eastAsia="仿宋_GB2312"/>
          <w:b/>
          <w:snapToGrid w:val="0"/>
          <w:color w:val="auto"/>
          <w:kern w:val="0"/>
          <w:sz w:val="40"/>
          <w:szCs w:val="28"/>
          <w:highlight w:val="none"/>
          <w:lang w:val="en-US" w:eastAsia="zh-CN"/>
        </w:rPr>
      </w:pPr>
    </w:p>
    <w:p w14:paraId="2633147B">
      <w:pPr>
        <w:pStyle w:val="5"/>
        <w:jc w:val="center"/>
        <w:rPr>
          <w:rFonts w:hint="eastAsia" w:ascii="仿宋_GB2312" w:hAnsi="宋体" w:eastAsia="仿宋_GB2312"/>
          <w:b/>
          <w:snapToGrid w:val="0"/>
          <w:color w:val="auto"/>
          <w:kern w:val="0"/>
          <w:sz w:val="40"/>
          <w:szCs w:val="28"/>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bookmarkStart w:id="7" w:name="_GoBack"/>
      <w:bookmarkEnd w:id="7"/>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650FAEED"/>
    <w:multiLevelType w:val="singleLevel"/>
    <w:tmpl w:val="650FAEED"/>
    <w:lvl w:ilvl="0" w:tentative="0">
      <w:start w:val="2"/>
      <w:numFmt w:val="chineseCounting"/>
      <w:suff w:val="nothing"/>
      <w:lvlText w:val="%1、"/>
      <w:lvlJc w:val="left"/>
      <w:rPr>
        <w:rFonts w:hint="eastAsia"/>
      </w:rPr>
    </w:lvl>
  </w:abstractNum>
  <w:abstractNum w:abstractNumId="4">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5B6D6E"/>
    <w:rsid w:val="03CE68FB"/>
    <w:rsid w:val="041961A8"/>
    <w:rsid w:val="04C70F47"/>
    <w:rsid w:val="056E5276"/>
    <w:rsid w:val="06FB539B"/>
    <w:rsid w:val="07F82B6D"/>
    <w:rsid w:val="08BF2007"/>
    <w:rsid w:val="0A0F4032"/>
    <w:rsid w:val="0B0A0DF7"/>
    <w:rsid w:val="0B993AA9"/>
    <w:rsid w:val="0C872834"/>
    <w:rsid w:val="0C974041"/>
    <w:rsid w:val="0CE64C8D"/>
    <w:rsid w:val="0E440BB0"/>
    <w:rsid w:val="0E6637FD"/>
    <w:rsid w:val="0E6753E5"/>
    <w:rsid w:val="0E9F1F75"/>
    <w:rsid w:val="0F4D0AAA"/>
    <w:rsid w:val="0F8419BC"/>
    <w:rsid w:val="0F9718DF"/>
    <w:rsid w:val="0FD01451"/>
    <w:rsid w:val="116E3FA7"/>
    <w:rsid w:val="122D0B62"/>
    <w:rsid w:val="133D5E0A"/>
    <w:rsid w:val="15D4217A"/>
    <w:rsid w:val="18900478"/>
    <w:rsid w:val="1922346A"/>
    <w:rsid w:val="19F9173E"/>
    <w:rsid w:val="1AAE2C67"/>
    <w:rsid w:val="1AF86BE0"/>
    <w:rsid w:val="1AFB727A"/>
    <w:rsid w:val="1B3306B6"/>
    <w:rsid w:val="1BDE0896"/>
    <w:rsid w:val="1C1979BC"/>
    <w:rsid w:val="1CA06CA3"/>
    <w:rsid w:val="1CE4012E"/>
    <w:rsid w:val="1CF00EFC"/>
    <w:rsid w:val="1EC93B22"/>
    <w:rsid w:val="1F2F00AB"/>
    <w:rsid w:val="1FC97167"/>
    <w:rsid w:val="2027068C"/>
    <w:rsid w:val="205210D9"/>
    <w:rsid w:val="20746E51"/>
    <w:rsid w:val="21426D4A"/>
    <w:rsid w:val="215F0650"/>
    <w:rsid w:val="228E65AB"/>
    <w:rsid w:val="22EB3FC4"/>
    <w:rsid w:val="236757CC"/>
    <w:rsid w:val="23FB11F4"/>
    <w:rsid w:val="24A31377"/>
    <w:rsid w:val="24E472F0"/>
    <w:rsid w:val="28256D6A"/>
    <w:rsid w:val="28275AF0"/>
    <w:rsid w:val="29AE2A56"/>
    <w:rsid w:val="2C3529EE"/>
    <w:rsid w:val="2CCA628B"/>
    <w:rsid w:val="2E346CB0"/>
    <w:rsid w:val="2F2F3117"/>
    <w:rsid w:val="2FC44243"/>
    <w:rsid w:val="31092EA8"/>
    <w:rsid w:val="31B12793"/>
    <w:rsid w:val="32BA35D6"/>
    <w:rsid w:val="333472C1"/>
    <w:rsid w:val="33FB61AD"/>
    <w:rsid w:val="342C6BC9"/>
    <w:rsid w:val="35761799"/>
    <w:rsid w:val="359B4383"/>
    <w:rsid w:val="376E6279"/>
    <w:rsid w:val="38A14340"/>
    <w:rsid w:val="3914724D"/>
    <w:rsid w:val="396A2364"/>
    <w:rsid w:val="3A6A181A"/>
    <w:rsid w:val="3A800389"/>
    <w:rsid w:val="3D485EC4"/>
    <w:rsid w:val="3D8263F7"/>
    <w:rsid w:val="3DE758A5"/>
    <w:rsid w:val="3E490B2A"/>
    <w:rsid w:val="3F5C6F82"/>
    <w:rsid w:val="3F7A35A1"/>
    <w:rsid w:val="40507E8F"/>
    <w:rsid w:val="40611EDD"/>
    <w:rsid w:val="41593545"/>
    <w:rsid w:val="41652D3C"/>
    <w:rsid w:val="44C5770F"/>
    <w:rsid w:val="44EF71C4"/>
    <w:rsid w:val="46F74436"/>
    <w:rsid w:val="474B1D32"/>
    <w:rsid w:val="475D7492"/>
    <w:rsid w:val="482D6FF9"/>
    <w:rsid w:val="49603401"/>
    <w:rsid w:val="496140CE"/>
    <w:rsid w:val="4AE139DB"/>
    <w:rsid w:val="4B2941E0"/>
    <w:rsid w:val="4BDB0A24"/>
    <w:rsid w:val="4BF076A6"/>
    <w:rsid w:val="4C31315D"/>
    <w:rsid w:val="4D9C7AE5"/>
    <w:rsid w:val="4F6D75ED"/>
    <w:rsid w:val="51352B6B"/>
    <w:rsid w:val="51915C25"/>
    <w:rsid w:val="53A17F68"/>
    <w:rsid w:val="53DB6C22"/>
    <w:rsid w:val="54B6568B"/>
    <w:rsid w:val="55085A60"/>
    <w:rsid w:val="55BB5978"/>
    <w:rsid w:val="55D5060A"/>
    <w:rsid w:val="59343196"/>
    <w:rsid w:val="599E0097"/>
    <w:rsid w:val="5ADB7D78"/>
    <w:rsid w:val="5D6C0A93"/>
    <w:rsid w:val="5D915A0E"/>
    <w:rsid w:val="5DBD061A"/>
    <w:rsid w:val="5E932E93"/>
    <w:rsid w:val="5FA4498B"/>
    <w:rsid w:val="60480506"/>
    <w:rsid w:val="61130716"/>
    <w:rsid w:val="61143219"/>
    <w:rsid w:val="61707CCC"/>
    <w:rsid w:val="61A6052D"/>
    <w:rsid w:val="623E37BE"/>
    <w:rsid w:val="626B6216"/>
    <w:rsid w:val="63814C5E"/>
    <w:rsid w:val="63FA2F2B"/>
    <w:rsid w:val="64077B7B"/>
    <w:rsid w:val="641D2F42"/>
    <w:rsid w:val="651C3DE1"/>
    <w:rsid w:val="66A178F0"/>
    <w:rsid w:val="676905E0"/>
    <w:rsid w:val="67CF5844"/>
    <w:rsid w:val="685314B5"/>
    <w:rsid w:val="69841E39"/>
    <w:rsid w:val="69D01878"/>
    <w:rsid w:val="6A1F4430"/>
    <w:rsid w:val="6B247663"/>
    <w:rsid w:val="6CDE3758"/>
    <w:rsid w:val="6D0072B3"/>
    <w:rsid w:val="6D1F523E"/>
    <w:rsid w:val="6D38732A"/>
    <w:rsid w:val="6DD05A39"/>
    <w:rsid w:val="6EC6360F"/>
    <w:rsid w:val="6EE24C47"/>
    <w:rsid w:val="6FB940CF"/>
    <w:rsid w:val="704D7FCB"/>
    <w:rsid w:val="712B71E9"/>
    <w:rsid w:val="713118C3"/>
    <w:rsid w:val="718A7865"/>
    <w:rsid w:val="71C02C3F"/>
    <w:rsid w:val="71E66764"/>
    <w:rsid w:val="72BB5C94"/>
    <w:rsid w:val="72FB7C35"/>
    <w:rsid w:val="732B3BA9"/>
    <w:rsid w:val="74664EBC"/>
    <w:rsid w:val="748E4735"/>
    <w:rsid w:val="74A2126A"/>
    <w:rsid w:val="761A5C47"/>
    <w:rsid w:val="76F343AC"/>
    <w:rsid w:val="77DC750A"/>
    <w:rsid w:val="77FA34D6"/>
    <w:rsid w:val="78024143"/>
    <w:rsid w:val="78F54CD1"/>
    <w:rsid w:val="799B64FC"/>
    <w:rsid w:val="7AF0174A"/>
    <w:rsid w:val="7B5C1973"/>
    <w:rsid w:val="7BDE27F0"/>
    <w:rsid w:val="7C6F2CF1"/>
    <w:rsid w:val="7CB244A3"/>
    <w:rsid w:val="7EBD0F4B"/>
    <w:rsid w:val="7EE67CE4"/>
    <w:rsid w:val="7EF26C55"/>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7061</Words>
  <Characters>7354</Characters>
  <Lines>0</Lines>
  <Paragraphs>0</Paragraphs>
  <TotalTime>2</TotalTime>
  <ScaleCrop>false</ScaleCrop>
  <LinksUpToDate>false</LinksUpToDate>
  <CharactersWithSpaces>7995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2025-09-08T00:26:21Z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AC0C6C93915C402DBFBBE635CD4120D5_13</vt:lpwstr>
  </property>
  <property fmtid="{D5CDD505-2E9C-101B-9397-08002B2CF9AE}" pid="4" name="KSOTemplateDocerSaveRecord">
    <vt:lpwstr>eyJoZGlkIjoiNzdkNTM4MTkwYTE0Yjk0Y2Y4MjVlZDcwOGViZTQwYjIiLCJ1c2VySWQiOiIxMTc2NDE1MTk0In0=</vt:lpwstr>
  </property>
</Properties>
</file>