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51D88A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项目名称：干粉灭火器</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项目编号：BSRMYY-YNCG-2025-06016</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5"/>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2128"/>
        <w:gridCol w:w="2331"/>
        <w:gridCol w:w="2394"/>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9"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010"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8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数量（具）</w:t>
            </w:r>
          </w:p>
        </w:tc>
        <w:tc>
          <w:tcPr>
            <w:tcW w:w="1183" w:type="pct"/>
            <w:vAlign w:val="center"/>
          </w:tcPr>
          <w:p w14:paraId="774A3BF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215"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6" w:hRule="atLeast"/>
          <w:jc w:val="center"/>
        </w:trPr>
        <w:tc>
          <w:tcPr>
            <w:tcW w:w="509"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010"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干粉灭火器 （新标）</w:t>
            </w:r>
          </w:p>
        </w:tc>
        <w:tc>
          <w:tcPr>
            <w:tcW w:w="108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1200</w:t>
            </w:r>
          </w:p>
        </w:tc>
        <w:tc>
          <w:tcPr>
            <w:tcW w:w="1183"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80</w:t>
            </w:r>
          </w:p>
        </w:tc>
        <w:tc>
          <w:tcPr>
            <w:tcW w:w="1215" w:type="pct"/>
            <w:vAlign w:val="center"/>
          </w:tcPr>
          <w:p w14:paraId="508B7BB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96000</w:t>
            </w:r>
          </w:p>
        </w:tc>
      </w:tr>
    </w:tbl>
    <w:p w14:paraId="73EE7FE2">
      <w:pPr>
        <w:pStyle w:val="27"/>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5"/>
        <w:tblW w:w="532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8"/>
        <w:gridCol w:w="1713"/>
        <w:gridCol w:w="1965"/>
        <w:gridCol w:w="6119"/>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33"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816"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936" w:type="pct"/>
            <w:vAlign w:val="center"/>
          </w:tcPr>
          <w:p w14:paraId="0A09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val="en-US" w:eastAsia="zh-CN"/>
              </w:rPr>
              <w:t>推荐品牌</w:t>
            </w:r>
          </w:p>
        </w:tc>
        <w:tc>
          <w:tcPr>
            <w:tcW w:w="2913"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3" w:hRule="atLeast"/>
          <w:jc w:val="center"/>
        </w:trPr>
        <w:tc>
          <w:tcPr>
            <w:tcW w:w="333" w:type="pct"/>
            <w:shd w:val="clear" w:color="auto" w:fill="auto"/>
            <w:vAlign w:val="center"/>
          </w:tcPr>
          <w:p w14:paraId="7486B2FD">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816"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rPr>
              <w:t>干粉灭火器 （新标）</w:t>
            </w:r>
          </w:p>
        </w:tc>
        <w:tc>
          <w:tcPr>
            <w:tcW w:w="936" w:type="pct"/>
            <w:shd w:val="clear" w:color="auto" w:fill="auto"/>
            <w:vAlign w:val="center"/>
          </w:tcPr>
          <w:p w14:paraId="59D6F01D">
            <w:pPr>
              <w:pStyle w:val="3"/>
              <w:bidi w:val="0"/>
              <w:rPr>
                <w:rFonts w:hint="eastAsia"/>
                <w:highlight w:val="none"/>
                <w:lang w:val="en-US" w:eastAsia="zh-CN"/>
              </w:rPr>
            </w:pPr>
          </w:p>
          <w:p w14:paraId="72760DB5">
            <w:pPr>
              <w:pStyle w:val="3"/>
              <w:bidi w:val="0"/>
              <w:rPr>
                <w:rFonts w:hint="eastAsia"/>
                <w:highlight w:val="none"/>
                <w:lang w:val="en-US" w:eastAsia="zh-CN"/>
              </w:rPr>
            </w:pPr>
          </w:p>
          <w:p w14:paraId="28ACC9E8">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神速、力杰、龙成</w:t>
            </w:r>
          </w:p>
          <w:p w14:paraId="248C2594">
            <w:pPr>
              <w:pStyle w:val="3"/>
              <w:bidi w:val="0"/>
              <w:rPr>
                <w:rFonts w:hint="eastAsia"/>
                <w:highlight w:val="none"/>
                <w:lang w:val="en-US" w:eastAsia="zh-CN"/>
              </w:rPr>
            </w:pPr>
          </w:p>
        </w:tc>
        <w:tc>
          <w:tcPr>
            <w:tcW w:w="2913" w:type="pct"/>
            <w:shd w:val="clear" w:color="auto" w:fill="auto"/>
            <w:vAlign w:val="center"/>
          </w:tcPr>
          <w:p w14:paraId="7B06D5BF">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规格：5公斤 MF/ABCE5</w:t>
            </w:r>
          </w:p>
          <w:p w14:paraId="08176470">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生产日期：2025年生产的灭火器</w:t>
            </w:r>
          </w:p>
          <w:p w14:paraId="59A80D2B">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标准要求：符合GB 4351-2023《手提式灭火器》、CNCA-C18-02: 2024《强制性产品认证实施规则 灭火器》、CCCF-CCC-III(C/0)《强制性产品认证实施细则 灭火器》要求</w:t>
            </w:r>
          </w:p>
        </w:tc>
      </w:tr>
      <w:tr w14:paraId="4A7748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5000" w:type="pct"/>
            <w:gridSpan w:val="4"/>
            <w:shd w:val="clear" w:color="auto" w:fill="auto"/>
            <w:vAlign w:val="center"/>
          </w:tcPr>
          <w:p w14:paraId="1608655A">
            <w:pPr>
              <w:jc w:val="lef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备注：供应商响应品牌须为采购人推荐品牌</w:t>
            </w:r>
          </w:p>
        </w:tc>
      </w:tr>
    </w:tbl>
    <w:p w14:paraId="6795CC8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highlight w:val="none"/>
          <w:lang w:val="en-US" w:eastAsia="zh-CN"/>
        </w:rPr>
      </w:pPr>
    </w:p>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特定资格条件：</w:t>
      </w:r>
    </w:p>
    <w:p w14:paraId="74C5816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42C764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本项目最高总价96000元，</w:t>
      </w:r>
      <w:r>
        <w:rPr>
          <w:rFonts w:hint="eastAsia" w:ascii="方正仿宋_GBK" w:hAnsi="方正仿宋_GBK" w:eastAsia="方正仿宋_GBK" w:cs="方正仿宋_GBK"/>
          <w:b w:val="0"/>
          <w:bCs w:val="0"/>
          <w:color w:val="auto"/>
          <w:kern w:val="0"/>
          <w:sz w:val="32"/>
          <w:szCs w:val="32"/>
          <w:highlight w:val="none"/>
          <w:lang w:val="en-US" w:eastAsia="zh-CN"/>
        </w:rPr>
        <w:t>报价包括但不限于干粉灭火器货款、运输装卸及安放配置、质保期维护保养费、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6087421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r>
        <w:rPr>
          <w:rFonts w:hint="eastAsia" w:ascii="方正仿宋_GBK" w:hAnsi="方正仿宋_GBK" w:eastAsia="方正仿宋_GBK" w:cs="方正仿宋_GBK"/>
          <w:color w:val="000000"/>
          <w:kern w:val="0"/>
          <w:sz w:val="31"/>
          <w:szCs w:val="31"/>
          <w:highlight w:val="none"/>
          <w:lang w:val="en-US" w:eastAsia="zh-CN" w:bidi="ar"/>
        </w:rPr>
        <w:t>供货前，中标供应商应提供产品合法来源的生产厂家授权委托书。</w:t>
      </w:r>
    </w:p>
    <w:p w14:paraId="35CDAD3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w:t>
      </w:r>
      <w:r>
        <w:rPr>
          <w:rFonts w:hint="eastAsia" w:ascii="方正仿宋_GBK" w:hAnsi="方正仿宋_GBK" w:eastAsia="方正仿宋_GBK" w:cs="方正仿宋_GBK"/>
          <w:b w:val="0"/>
          <w:bCs w:val="0"/>
          <w:color w:val="auto"/>
          <w:sz w:val="32"/>
          <w:szCs w:val="32"/>
          <w:highlight w:val="none"/>
          <w:lang w:val="en-US" w:eastAsia="zh-CN"/>
        </w:rPr>
        <w:t>3天</w:t>
      </w:r>
      <w:r>
        <w:rPr>
          <w:rFonts w:hint="eastAsia" w:ascii="方正仿宋_GBK" w:hAnsi="方正仿宋_GBK" w:eastAsia="方正仿宋_GBK" w:cs="方正仿宋_GBK"/>
          <w:color w:val="auto"/>
          <w:sz w:val="32"/>
          <w:szCs w:val="32"/>
          <w:highlight w:val="none"/>
          <w:lang w:val="en-US" w:eastAsia="zh-CN"/>
        </w:rPr>
        <w:t>完成所有产品送货，特殊情况5天</w:t>
      </w:r>
      <w:bookmarkStart w:id="7" w:name="_GoBack"/>
      <w:bookmarkEnd w:id="7"/>
      <w:r>
        <w:rPr>
          <w:rFonts w:hint="eastAsia" w:ascii="方正仿宋_GBK" w:hAnsi="方正仿宋_GBK" w:eastAsia="方正仿宋_GBK" w:cs="方正仿宋_GBK"/>
          <w:color w:val="auto"/>
          <w:sz w:val="32"/>
          <w:szCs w:val="32"/>
          <w:highlight w:val="none"/>
          <w:lang w:val="en-US" w:eastAsia="zh-CN"/>
        </w:rPr>
        <w:t>完成所有产品送货（自然灾害除外），最长7天完成所有灭火器的安放配置（</w:t>
      </w:r>
      <w:r>
        <w:rPr>
          <w:rFonts w:hint="eastAsia" w:ascii="方正仿宋_GBK" w:hAnsi="方正仿宋_GBK" w:eastAsia="方正仿宋_GBK" w:cs="方正仿宋_GBK"/>
          <w:b w:val="0"/>
          <w:bCs w:val="0"/>
          <w:color w:val="auto"/>
          <w:kern w:val="0"/>
          <w:sz w:val="32"/>
          <w:szCs w:val="32"/>
          <w:highlight w:val="none"/>
          <w:lang w:val="en-US" w:eastAsia="zh-CN"/>
        </w:rPr>
        <w:t>所有灭火器均须配置到采购人指定点位</w:t>
      </w:r>
      <w:r>
        <w:rPr>
          <w:rFonts w:hint="eastAsia" w:ascii="方正仿宋_GBK" w:hAnsi="方正仿宋_GBK" w:eastAsia="方正仿宋_GBK" w:cs="方正仿宋_GBK"/>
          <w:color w:val="auto"/>
          <w:sz w:val="32"/>
          <w:szCs w:val="32"/>
          <w:highlight w:val="none"/>
          <w:lang w:val="en-US" w:eastAsia="zh-CN"/>
        </w:rPr>
        <w:t>）。</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6963505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到货验收：确认灭火器的产品性能及参数是否符合招投标文件及合同要求，</w:t>
      </w:r>
      <w:r>
        <w:rPr>
          <w:rFonts w:hint="eastAsia" w:ascii="方正仿宋_GBK" w:hAnsi="方正仿宋_GBK" w:eastAsia="方正仿宋_GBK" w:cs="方正仿宋_GBK"/>
          <w:b w:val="0"/>
          <w:bCs w:val="0"/>
          <w:color w:val="auto"/>
          <w:kern w:val="0"/>
          <w:sz w:val="32"/>
          <w:szCs w:val="32"/>
          <w:highlight w:val="none"/>
          <w:lang w:val="en-US" w:eastAsia="zh-CN"/>
        </w:rPr>
        <w:t>确认无异议后由供应商将所有灭火器配置到采购人指定点位。采购人</w:t>
      </w:r>
      <w:r>
        <w:rPr>
          <w:rFonts w:hint="eastAsia" w:ascii="方正仿宋_GBK" w:hAnsi="方正仿宋_GBK" w:eastAsia="方正仿宋_GBK" w:cs="方正仿宋_GBK"/>
          <w:color w:val="auto"/>
          <w:kern w:val="0"/>
          <w:sz w:val="32"/>
          <w:szCs w:val="32"/>
          <w:highlight w:val="none"/>
          <w:lang w:val="en-US" w:eastAsia="zh-CN"/>
        </w:rPr>
        <w:t>将随机抽取4具灭火器送至重庆质检站进行检测（检测费用由供应商承担），均拿到检测合格报告后才作为最终验收。</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（1）生产日期要求：送货产品须为2025年生产的全新产品。</w:t>
      </w:r>
    </w:p>
    <w:p w14:paraId="46719B8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kern w:val="0"/>
          <w:sz w:val="32"/>
          <w:szCs w:val="32"/>
          <w:highlight w:val="none"/>
          <w:lang w:val="en-US" w:eastAsia="zh-CN"/>
        </w:rPr>
        <w:t>质保期限及要求：</w:t>
      </w:r>
      <w:r>
        <w:rPr>
          <w:rFonts w:hint="default" w:ascii="方正仿宋_GBK" w:hAnsi="方正仿宋_GBK" w:eastAsia="方正仿宋_GBK" w:cs="方正仿宋_GBK"/>
          <w:b w:val="0"/>
          <w:bCs w:val="0"/>
          <w:color w:val="auto"/>
          <w:kern w:val="0"/>
          <w:sz w:val="32"/>
          <w:szCs w:val="32"/>
          <w:highlight w:val="none"/>
          <w:lang w:val="en-US" w:eastAsia="zh-CN"/>
        </w:rPr>
        <w:t>产品质保</w:t>
      </w:r>
      <w:r>
        <w:rPr>
          <w:rFonts w:hint="eastAsia" w:ascii="方正仿宋_GBK" w:hAnsi="方正仿宋_GBK" w:eastAsia="方正仿宋_GBK" w:cs="方正仿宋_GBK"/>
          <w:b w:val="0"/>
          <w:bCs w:val="0"/>
          <w:color w:val="auto"/>
          <w:kern w:val="0"/>
          <w:sz w:val="32"/>
          <w:szCs w:val="32"/>
          <w:highlight w:val="none"/>
          <w:lang w:val="en-US" w:eastAsia="zh-CN"/>
        </w:rPr>
        <w:t>期</w:t>
      </w:r>
      <w:r>
        <w:rPr>
          <w:rFonts w:hint="default" w:ascii="方正仿宋_GBK" w:hAnsi="方正仿宋_GBK" w:eastAsia="方正仿宋_GBK" w:cs="方正仿宋_GBK"/>
          <w:b w:val="0"/>
          <w:bCs w:val="0"/>
          <w:color w:val="auto"/>
          <w:kern w:val="0"/>
          <w:sz w:val="32"/>
          <w:szCs w:val="32"/>
          <w:highlight w:val="none"/>
          <w:lang w:val="en-US" w:eastAsia="zh-CN"/>
        </w:rPr>
        <w:t>不少于1年</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default" w:ascii="方正仿宋_GBK" w:hAnsi="方正仿宋_GBK" w:eastAsia="方正仿宋_GBK" w:cs="方正仿宋_GBK"/>
          <w:b w:val="0"/>
          <w:bCs w:val="0"/>
          <w:color w:val="auto"/>
          <w:kern w:val="0"/>
          <w:sz w:val="32"/>
          <w:szCs w:val="32"/>
          <w:highlight w:val="none"/>
          <w:lang w:val="en-US" w:eastAsia="zh-CN"/>
        </w:rPr>
        <w:t>质保期内</w:t>
      </w:r>
      <w:r>
        <w:rPr>
          <w:rFonts w:hint="eastAsia" w:ascii="方正仿宋_GBK" w:hAnsi="方正仿宋_GBK" w:eastAsia="方正仿宋_GBK" w:cs="方正仿宋_GBK"/>
          <w:b w:val="0"/>
          <w:bCs w:val="0"/>
          <w:color w:val="auto"/>
          <w:kern w:val="0"/>
          <w:sz w:val="32"/>
          <w:szCs w:val="32"/>
          <w:highlight w:val="none"/>
          <w:lang w:val="en-US" w:eastAsia="zh-CN"/>
        </w:rPr>
        <w:t>出现</w:t>
      </w:r>
      <w:r>
        <w:rPr>
          <w:rFonts w:hint="default" w:ascii="方正仿宋_GBK" w:hAnsi="方正仿宋_GBK" w:eastAsia="方正仿宋_GBK" w:cs="方正仿宋_GBK"/>
          <w:b w:val="0"/>
          <w:bCs w:val="0"/>
          <w:color w:val="auto"/>
          <w:kern w:val="0"/>
          <w:sz w:val="32"/>
          <w:szCs w:val="32"/>
          <w:highlight w:val="none"/>
          <w:lang w:val="en-US" w:eastAsia="zh-CN"/>
        </w:rPr>
        <w:t>非</w:t>
      </w:r>
      <w:r>
        <w:rPr>
          <w:rFonts w:hint="eastAsia" w:ascii="方正仿宋_GBK" w:hAnsi="方正仿宋_GBK" w:eastAsia="方正仿宋_GBK" w:cs="方正仿宋_GBK"/>
          <w:b w:val="0"/>
          <w:bCs w:val="0"/>
          <w:color w:val="auto"/>
          <w:kern w:val="0"/>
          <w:sz w:val="32"/>
          <w:szCs w:val="32"/>
          <w:highlight w:val="none"/>
          <w:lang w:val="en-US" w:eastAsia="zh-CN"/>
        </w:rPr>
        <w:t>人</w:t>
      </w:r>
      <w:r>
        <w:rPr>
          <w:rFonts w:hint="default" w:ascii="方正仿宋_GBK" w:hAnsi="方正仿宋_GBK" w:eastAsia="方正仿宋_GBK" w:cs="方正仿宋_GBK"/>
          <w:b w:val="0"/>
          <w:bCs w:val="0"/>
          <w:color w:val="auto"/>
          <w:kern w:val="0"/>
          <w:sz w:val="32"/>
          <w:szCs w:val="32"/>
          <w:highlight w:val="none"/>
          <w:lang w:val="en-US" w:eastAsia="zh-CN"/>
        </w:rPr>
        <w:t>为因素导致的</w:t>
      </w:r>
      <w:r>
        <w:rPr>
          <w:rFonts w:hint="eastAsia" w:ascii="方正仿宋_GBK" w:hAnsi="方正仿宋_GBK" w:eastAsia="方正仿宋_GBK" w:cs="方正仿宋_GBK"/>
          <w:b w:val="0"/>
          <w:bCs w:val="0"/>
          <w:color w:val="auto"/>
          <w:kern w:val="0"/>
          <w:sz w:val="32"/>
          <w:szCs w:val="32"/>
          <w:highlight w:val="none"/>
          <w:lang w:val="en-US" w:eastAsia="zh-CN"/>
        </w:rPr>
        <w:t>质量问题免费换新，质保期后由采购人评估产品后决定充装检测或换新。</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产品安放配置涉及多场地，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供应商未按采购人要求时限完成服务，每延迟1日承担500元违约金，超过20日，采购人有权单方面解除合同；</w:t>
      </w:r>
      <w:r>
        <w:rPr>
          <w:rFonts w:hint="eastAsia" w:ascii="方正仿宋_GBK" w:hAnsi="方正仿宋_GBK" w:eastAsia="方正仿宋_GBK" w:cs="方正仿宋_GBK"/>
          <w:b w:val="0"/>
          <w:bCs w:val="0"/>
          <w:color w:val="auto"/>
          <w:kern w:val="0"/>
          <w:sz w:val="32"/>
          <w:szCs w:val="32"/>
          <w:highlight w:val="none"/>
          <w:lang w:val="en-US" w:eastAsia="zh-CN"/>
        </w:rPr>
        <w:t>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w:t>
      </w:r>
      <w:r>
        <w:rPr>
          <w:rFonts w:hint="eastAsia" w:ascii="方正仿宋_GBK" w:hAnsi="方正仿宋_GBK" w:eastAsia="方正仿宋_GBK" w:cs="方正仿宋_GBK"/>
          <w:b w:val="0"/>
          <w:bCs w:val="0"/>
          <w:color w:val="auto"/>
          <w:kern w:val="0"/>
          <w:sz w:val="32"/>
          <w:szCs w:val="32"/>
          <w:highlight w:val="none"/>
          <w:lang w:val="en-US" w:eastAsia="zh-CN"/>
        </w:rPr>
        <w:t>因供应商及其产品原因（包括伪劣劣质产品）导致的不良事件造成采购人损失的，采购人有权解除合同并要求供应商退还本项目费用并全额赔偿对采购人造成的直接或间接损失；每年度相关监管部门随机抽查产品不合格产生的损失及责任，由供应商全部承担；</w:t>
      </w:r>
      <w:r>
        <w:rPr>
          <w:rFonts w:hint="eastAsia" w:ascii="方正仿宋_GBK" w:hAnsi="方正仿宋_GBK" w:eastAsia="方正仿宋_GBK" w:cs="方正仿宋_GBK"/>
          <w:b w:val="0"/>
          <w:bCs w:val="0"/>
          <w:color w:val="auto"/>
          <w:kern w:val="0"/>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73378A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5.报价表（附明细报价表）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36F3326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14.</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63663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color w:val="auto"/>
          <w:kern w:val="0"/>
          <w:sz w:val="32"/>
          <w:szCs w:val="32"/>
          <w:highlight w:val="none"/>
          <w:lang w:val="en-US" w:eastAsia="zh-CN" w:bidi="ar-SA"/>
        </w:rPr>
        <w:t>1.其他法律法规有关规范。</w:t>
      </w: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73677399"/>
      <w:bookmarkStart w:id="2" w:name="_Toc128014297"/>
      <w:bookmarkStart w:id="3" w:name="_Toc156196472"/>
      <w:bookmarkStart w:id="4" w:name="_Toc128229747"/>
      <w:bookmarkStart w:id="5" w:name="_Toc175017344"/>
      <w:bookmarkStart w:id="6" w:name="_Toc237057793"/>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10"/>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w:t>
      </w:r>
      <w:r>
        <w:rPr>
          <w:rFonts w:hint="eastAsia" w:ascii="方正仿宋_GBK" w:hAnsi="方正仿宋_GBK" w:eastAsia="方正仿宋_GBK" w:cs="方正仿宋_GBK"/>
          <w:color w:val="auto"/>
          <w:sz w:val="32"/>
          <w:szCs w:val="32"/>
          <w:highlight w:val="none"/>
          <w:lang w:val="en-US" w:eastAsia="zh-CN"/>
        </w:rPr>
        <w:t>报总价为人民币大写：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元整。</w:t>
      </w:r>
    </w:p>
    <w:p w14:paraId="3B421839">
      <w:pPr>
        <w:pStyle w:val="10"/>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943A31A">
      <w:pPr>
        <w:tabs>
          <w:tab w:val="left" w:pos="2895"/>
        </w:tabs>
        <w:spacing w:line="600" w:lineRule="exact"/>
        <w:ind w:firstLine="596" w:firstLineChars="200"/>
        <w:jc w:val="right"/>
        <w:rPr>
          <w:rFonts w:hint="eastAsia" w:ascii="微软雅黑" w:hAnsi="微软雅黑" w:eastAsia="微软雅黑"/>
          <w:b/>
          <w:bCs/>
          <w:sz w:val="32"/>
          <w:szCs w:val="32"/>
          <w:highlight w:val="none"/>
        </w:rPr>
      </w:pPr>
      <w:r>
        <w:rPr>
          <w:rFonts w:hint="eastAsia" w:ascii="方正仿宋_GBK" w:hAnsi="方正仿宋_GBK" w:eastAsia="方正仿宋_GBK" w:cs="方正仿宋_GBK"/>
          <w:sz w:val="32"/>
          <w:szCs w:val="32"/>
          <w:highlight w:val="none"/>
          <w:lang w:val="en-US" w:eastAsia="zh-CN"/>
        </w:rPr>
        <w:t>年  月   日</w:t>
      </w:r>
    </w:p>
    <w:p w14:paraId="4F410FA8">
      <w:pPr>
        <w:spacing w:line="594" w:lineRule="exact"/>
        <w:jc w:val="both"/>
        <w:rPr>
          <w:rFonts w:hint="eastAsia" w:ascii="微软雅黑" w:hAnsi="微软雅黑" w:eastAsia="微软雅黑"/>
          <w:b/>
          <w:bCs/>
          <w:sz w:val="32"/>
          <w:szCs w:val="32"/>
          <w:highlight w:val="none"/>
        </w:rPr>
      </w:pPr>
    </w:p>
    <w:p w14:paraId="6B766A44">
      <w:pPr>
        <w:spacing w:line="594" w:lineRule="exact"/>
        <w:jc w:val="both"/>
        <w:rPr>
          <w:rFonts w:hint="eastAsia" w:ascii="微软雅黑" w:hAnsi="微软雅黑" w:eastAsia="微软雅黑"/>
          <w:b/>
          <w:bCs/>
          <w:sz w:val="32"/>
          <w:szCs w:val="32"/>
          <w:highlight w:val="none"/>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5"/>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831"/>
        <w:gridCol w:w="1590"/>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1831"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590"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1831" w:type="dxa"/>
            <w:noWrap w:val="0"/>
            <w:vAlign w:val="top"/>
          </w:tcPr>
          <w:p w14:paraId="764B2900">
            <w:pPr>
              <w:spacing w:line="300" w:lineRule="exact"/>
              <w:rPr>
                <w:rFonts w:ascii="微软雅黑" w:hAnsi="微软雅黑" w:eastAsia="微软雅黑" w:cs="微软雅黑"/>
                <w:sz w:val="24"/>
                <w:szCs w:val="24"/>
                <w:highlight w:val="none"/>
              </w:rPr>
            </w:pPr>
          </w:p>
        </w:tc>
        <w:tc>
          <w:tcPr>
            <w:tcW w:w="1590"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1831" w:type="dxa"/>
            <w:noWrap w:val="0"/>
            <w:vAlign w:val="top"/>
          </w:tcPr>
          <w:p w14:paraId="49AAE716">
            <w:pPr>
              <w:spacing w:line="300" w:lineRule="exact"/>
              <w:rPr>
                <w:rFonts w:ascii="微软雅黑" w:hAnsi="微软雅黑" w:eastAsia="微软雅黑" w:cs="微软雅黑"/>
                <w:sz w:val="24"/>
                <w:szCs w:val="24"/>
                <w:highlight w:val="none"/>
              </w:rPr>
            </w:pPr>
          </w:p>
        </w:tc>
        <w:tc>
          <w:tcPr>
            <w:tcW w:w="1590"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1831" w:type="dxa"/>
            <w:noWrap w:val="0"/>
            <w:vAlign w:val="top"/>
          </w:tcPr>
          <w:p w14:paraId="1E8F4A1D">
            <w:pPr>
              <w:spacing w:line="300" w:lineRule="exact"/>
              <w:rPr>
                <w:rFonts w:ascii="微软雅黑" w:hAnsi="微软雅黑" w:eastAsia="微软雅黑" w:cs="微软雅黑"/>
                <w:sz w:val="24"/>
                <w:szCs w:val="24"/>
                <w:highlight w:val="none"/>
              </w:rPr>
            </w:pPr>
          </w:p>
        </w:tc>
        <w:tc>
          <w:tcPr>
            <w:tcW w:w="1590"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1831" w:type="dxa"/>
            <w:noWrap w:val="0"/>
            <w:vAlign w:val="top"/>
          </w:tcPr>
          <w:p w14:paraId="490BC7C9">
            <w:pPr>
              <w:spacing w:line="300" w:lineRule="exact"/>
              <w:rPr>
                <w:rFonts w:ascii="微软雅黑" w:hAnsi="微软雅黑" w:eastAsia="微软雅黑" w:cs="微软雅黑"/>
                <w:sz w:val="24"/>
                <w:szCs w:val="24"/>
                <w:highlight w:val="none"/>
              </w:rPr>
            </w:pPr>
          </w:p>
        </w:tc>
        <w:tc>
          <w:tcPr>
            <w:tcW w:w="1590"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1831" w:type="dxa"/>
            <w:noWrap w:val="0"/>
            <w:vAlign w:val="top"/>
          </w:tcPr>
          <w:p w14:paraId="31786AD8">
            <w:pPr>
              <w:spacing w:line="300" w:lineRule="exact"/>
              <w:rPr>
                <w:rFonts w:ascii="微软雅黑" w:hAnsi="微软雅黑" w:eastAsia="微软雅黑" w:cs="微软雅黑"/>
                <w:sz w:val="24"/>
                <w:szCs w:val="24"/>
                <w:highlight w:val="none"/>
              </w:rPr>
            </w:pPr>
          </w:p>
        </w:tc>
        <w:tc>
          <w:tcPr>
            <w:tcW w:w="1590"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1831" w:type="dxa"/>
            <w:noWrap w:val="0"/>
            <w:vAlign w:val="top"/>
          </w:tcPr>
          <w:p w14:paraId="4FE065E3">
            <w:pPr>
              <w:spacing w:line="300" w:lineRule="exact"/>
              <w:rPr>
                <w:rFonts w:ascii="微软雅黑" w:hAnsi="微软雅黑" w:eastAsia="微软雅黑" w:cs="微软雅黑"/>
                <w:sz w:val="24"/>
                <w:szCs w:val="24"/>
                <w:highlight w:val="none"/>
              </w:rPr>
            </w:pPr>
          </w:p>
        </w:tc>
        <w:tc>
          <w:tcPr>
            <w:tcW w:w="1590"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1831" w:type="dxa"/>
            <w:noWrap w:val="0"/>
            <w:vAlign w:val="top"/>
          </w:tcPr>
          <w:p w14:paraId="5F00180A">
            <w:pPr>
              <w:spacing w:line="300" w:lineRule="exact"/>
              <w:rPr>
                <w:rFonts w:ascii="微软雅黑" w:hAnsi="微软雅黑" w:eastAsia="微软雅黑" w:cs="微软雅黑"/>
                <w:sz w:val="24"/>
                <w:szCs w:val="24"/>
                <w:highlight w:val="none"/>
              </w:rPr>
            </w:pPr>
          </w:p>
        </w:tc>
        <w:tc>
          <w:tcPr>
            <w:tcW w:w="1590"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1831" w:type="dxa"/>
            <w:noWrap w:val="0"/>
            <w:vAlign w:val="top"/>
          </w:tcPr>
          <w:p w14:paraId="4B5AC615">
            <w:pPr>
              <w:spacing w:line="300" w:lineRule="exact"/>
              <w:rPr>
                <w:rFonts w:ascii="微软雅黑" w:hAnsi="微软雅黑" w:eastAsia="微软雅黑" w:cs="微软雅黑"/>
                <w:sz w:val="24"/>
                <w:szCs w:val="24"/>
                <w:highlight w:val="none"/>
              </w:rPr>
            </w:pPr>
          </w:p>
        </w:tc>
        <w:tc>
          <w:tcPr>
            <w:tcW w:w="1590"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1831" w:type="dxa"/>
            <w:noWrap w:val="0"/>
            <w:vAlign w:val="top"/>
          </w:tcPr>
          <w:p w14:paraId="4CBB5A4D">
            <w:pPr>
              <w:spacing w:line="300" w:lineRule="exact"/>
              <w:rPr>
                <w:rFonts w:ascii="微软雅黑" w:hAnsi="微软雅黑" w:eastAsia="微软雅黑" w:cs="微软雅黑"/>
                <w:sz w:val="24"/>
                <w:szCs w:val="24"/>
                <w:highlight w:val="none"/>
              </w:rPr>
            </w:pPr>
          </w:p>
        </w:tc>
        <w:tc>
          <w:tcPr>
            <w:tcW w:w="1590"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1831" w:type="dxa"/>
            <w:noWrap w:val="0"/>
            <w:vAlign w:val="top"/>
          </w:tcPr>
          <w:p w14:paraId="2F453EE4">
            <w:pPr>
              <w:spacing w:line="300" w:lineRule="exact"/>
              <w:rPr>
                <w:rFonts w:ascii="微软雅黑" w:hAnsi="微软雅黑" w:eastAsia="微软雅黑" w:cs="微软雅黑"/>
                <w:sz w:val="24"/>
                <w:szCs w:val="24"/>
                <w:highlight w:val="none"/>
              </w:rPr>
            </w:pPr>
          </w:p>
        </w:tc>
        <w:tc>
          <w:tcPr>
            <w:tcW w:w="1590"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1831" w:type="dxa"/>
            <w:noWrap w:val="0"/>
            <w:vAlign w:val="top"/>
          </w:tcPr>
          <w:p w14:paraId="09FD19F7">
            <w:pPr>
              <w:spacing w:line="300" w:lineRule="exact"/>
              <w:rPr>
                <w:rFonts w:ascii="微软雅黑" w:hAnsi="微软雅黑" w:eastAsia="微软雅黑" w:cs="微软雅黑"/>
                <w:sz w:val="24"/>
                <w:szCs w:val="24"/>
                <w:highlight w:val="none"/>
              </w:rPr>
            </w:pPr>
          </w:p>
        </w:tc>
        <w:tc>
          <w:tcPr>
            <w:tcW w:w="1590"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3"/>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2A3F2814">
      <w:pPr>
        <w:spacing w:line="594" w:lineRule="exact"/>
        <w:jc w:val="both"/>
        <w:rPr>
          <w:rFonts w:hint="eastAsia" w:ascii="微软雅黑" w:hAnsi="微软雅黑" w:eastAsia="微软雅黑"/>
          <w:b/>
          <w:bCs/>
          <w:sz w:val="32"/>
          <w:szCs w:val="32"/>
          <w:highlight w:val="none"/>
        </w:rPr>
      </w:pP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5"/>
        <w:tblpPr w:leftFromText="180" w:rightFromText="180" w:vertAnchor="text" w:horzAnchor="page" w:tblpXSpec="center" w:tblpY="586"/>
        <w:tblOverlap w:val="neve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6ED3A51">
      <w:pPr>
        <w:spacing w:line="594" w:lineRule="exact"/>
        <w:rPr>
          <w:rFonts w:hint="eastAsia" w:ascii="微软雅黑" w:hAnsi="微软雅黑" w:eastAsia="微软雅黑"/>
          <w:b/>
          <w:bCs/>
          <w:sz w:val="32"/>
          <w:szCs w:val="32"/>
          <w:highlight w:val="none"/>
        </w:r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5"/>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449E1E7C">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8CA53D3">
      <w:pPr>
        <w:spacing w:line="594" w:lineRule="exact"/>
        <w:ind w:firstLine="1390" w:firstLineChars="500"/>
        <w:rPr>
          <w:rFonts w:ascii="方正仿宋_GBK" w:eastAsia="方正仿宋_GBK"/>
          <w:sz w:val="32"/>
          <w:szCs w:val="32"/>
          <w:highlight w:val="none"/>
        </w:rPr>
        <w:sectPr>
          <w:headerReference r:id="rId3" w:type="default"/>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cs="___WRD_EMBED_SUB_53"/>
          <w:sz w:val="30"/>
          <w:szCs w:val="30"/>
          <w:highlight w:val="none"/>
          <w:lang w:val="en-US" w:eastAsia="zh-CN"/>
        </w:rPr>
        <w:t>2.</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如产品说明书等</w:t>
      </w:r>
      <w:r>
        <w:rPr>
          <w:rFonts w:hint="eastAsia" w:ascii="仿宋_GB2312" w:eastAsia="仿宋_GB2312" w:cs="宋体"/>
          <w:color w:val="auto"/>
          <w:sz w:val="32"/>
          <w:szCs w:val="32"/>
          <w:highlight w:val="none"/>
          <w:lang w:val="en-US" w:eastAsia="zh-CN"/>
        </w:rPr>
        <w:t>）</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01CDB8E4">
      <w:pPr>
        <w:spacing w:line="594" w:lineRule="exact"/>
        <w:ind w:firstLine="640" w:firstLineChars="200"/>
        <w:jc w:val="left"/>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配套服务承诺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color w:val="auto"/>
          <w:sz w:val="30"/>
          <w:szCs w:val="30"/>
          <w:highlight w:val="none"/>
        </w:rPr>
        <w:t>质保期</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宋体"/>
          <w:sz w:val="30"/>
          <w:szCs w:val="30"/>
          <w:highlight w:val="none"/>
          <w:lang w:eastAsia="zh-CN"/>
        </w:rPr>
        <w:t>等</w:t>
      </w:r>
      <w:r>
        <w:rPr>
          <w:rFonts w:hint="eastAsia" w:ascii="微软雅黑" w:hAnsi="微软雅黑" w:eastAsia="微软雅黑" w:cs="___WRD_EMBED_SUB_53"/>
          <w:b/>
          <w:bCs/>
          <w:sz w:val="30"/>
          <w:szCs w:val="30"/>
          <w:highlight w:val="none"/>
        </w:rPr>
        <w:t>）</w:t>
      </w:r>
    </w:p>
    <w:p w14:paraId="5B9C5BCB">
      <w:pPr>
        <w:rPr>
          <w:rFonts w:hint="eastAsia" w:ascii="仿宋_GB2312" w:eastAsia="仿宋_GB2312" w:cs="宋体"/>
          <w:color w:val="auto"/>
          <w:sz w:val="32"/>
          <w:szCs w:val="32"/>
          <w:highlight w:val="none"/>
          <w:lang w:val="en-US" w:eastAsia="zh-CN"/>
        </w:rPr>
      </w:pPr>
    </w:p>
    <w:p w14:paraId="625ACC0E">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5"/>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17FFA04F">
      <w:pPr>
        <w:pStyle w:val="5"/>
        <w:jc w:val="center"/>
        <w:rPr>
          <w:rFonts w:hint="eastAsia" w:ascii="仿宋_GB2312" w:hAnsi="宋体" w:eastAsia="仿宋_GB2312"/>
          <w:b/>
          <w:snapToGrid w:val="0"/>
          <w:color w:val="auto"/>
          <w:kern w:val="0"/>
          <w:sz w:val="40"/>
          <w:szCs w:val="28"/>
          <w:highlight w:val="none"/>
          <w:lang w:val="en-US" w:eastAsia="zh-CN"/>
        </w:rPr>
      </w:pPr>
    </w:p>
    <w:p w14:paraId="2CEEC716">
      <w:pPr>
        <w:pStyle w:val="5"/>
        <w:jc w:val="center"/>
        <w:rPr>
          <w:rFonts w:hint="eastAsia" w:ascii="仿宋_GB2312" w:hAnsi="宋体" w:eastAsia="仿宋_GB2312"/>
          <w:b/>
          <w:snapToGrid w:val="0"/>
          <w:color w:val="auto"/>
          <w:kern w:val="0"/>
          <w:sz w:val="40"/>
          <w:szCs w:val="28"/>
          <w:highlight w:val="none"/>
          <w:lang w:val="en-US" w:eastAsia="zh-CN"/>
        </w:rPr>
      </w:pPr>
    </w:p>
    <w:p w14:paraId="5987E6AA">
      <w:pPr>
        <w:pStyle w:val="5"/>
        <w:jc w:val="center"/>
        <w:rPr>
          <w:rFonts w:hint="eastAsia" w:ascii="仿宋_GB2312" w:hAnsi="宋体" w:eastAsia="仿宋_GB2312"/>
          <w:b/>
          <w:snapToGrid w:val="0"/>
          <w:color w:val="auto"/>
          <w:kern w:val="0"/>
          <w:sz w:val="40"/>
          <w:szCs w:val="28"/>
          <w:highlight w:val="none"/>
          <w:lang w:val="en-US" w:eastAsia="zh-CN"/>
        </w:rPr>
      </w:pPr>
    </w:p>
    <w:p w14:paraId="05D2EAC7">
      <w:pPr>
        <w:pStyle w:val="5"/>
        <w:jc w:val="center"/>
        <w:rPr>
          <w:rFonts w:hint="eastAsia" w:ascii="仿宋_GB2312" w:hAnsi="宋体" w:eastAsia="仿宋_GB2312"/>
          <w:b/>
          <w:snapToGrid w:val="0"/>
          <w:color w:val="auto"/>
          <w:kern w:val="0"/>
          <w:sz w:val="40"/>
          <w:szCs w:val="28"/>
          <w:highlight w:val="none"/>
          <w:lang w:val="en-US" w:eastAsia="zh-CN"/>
        </w:rPr>
      </w:pPr>
    </w:p>
    <w:p w14:paraId="5E369A36">
      <w:pPr>
        <w:pStyle w:val="5"/>
        <w:jc w:val="center"/>
        <w:rPr>
          <w:rFonts w:hint="eastAsia" w:ascii="仿宋_GB2312" w:hAnsi="宋体" w:eastAsia="仿宋_GB2312"/>
          <w:b/>
          <w:snapToGrid w:val="0"/>
          <w:color w:val="auto"/>
          <w:kern w:val="0"/>
          <w:sz w:val="40"/>
          <w:szCs w:val="28"/>
          <w:highlight w:val="none"/>
          <w:lang w:val="en-US" w:eastAsia="zh-CN"/>
        </w:rPr>
      </w:pPr>
    </w:p>
    <w:p w14:paraId="6079A2BA">
      <w:pPr>
        <w:pStyle w:val="5"/>
        <w:jc w:val="center"/>
        <w:rPr>
          <w:rFonts w:hint="eastAsia" w:ascii="仿宋_GB2312" w:hAnsi="宋体" w:eastAsia="仿宋_GB2312"/>
          <w:b/>
          <w:snapToGrid w:val="0"/>
          <w:color w:val="auto"/>
          <w:kern w:val="0"/>
          <w:sz w:val="40"/>
          <w:szCs w:val="28"/>
          <w:highlight w:val="none"/>
          <w:lang w:val="en-US" w:eastAsia="zh-CN"/>
        </w:rPr>
      </w:pPr>
    </w:p>
    <w:p w14:paraId="23C6BB47">
      <w:pPr>
        <w:pStyle w:val="5"/>
        <w:jc w:val="center"/>
        <w:rPr>
          <w:rFonts w:hint="eastAsia" w:ascii="仿宋_GB2312" w:hAnsi="宋体" w:eastAsia="仿宋_GB2312"/>
          <w:b/>
          <w:snapToGrid w:val="0"/>
          <w:color w:val="auto"/>
          <w:kern w:val="0"/>
          <w:sz w:val="40"/>
          <w:szCs w:val="28"/>
          <w:highlight w:val="none"/>
          <w:lang w:val="en-US" w:eastAsia="zh-CN"/>
        </w:rPr>
      </w:pPr>
    </w:p>
    <w:p w14:paraId="4DF09E6F">
      <w:pPr>
        <w:pStyle w:val="5"/>
        <w:jc w:val="center"/>
        <w:rPr>
          <w:rFonts w:hint="eastAsia" w:ascii="仿宋_GB2312" w:hAnsi="宋体" w:eastAsia="仿宋_GB2312"/>
          <w:b/>
          <w:snapToGrid w:val="0"/>
          <w:color w:val="auto"/>
          <w:kern w:val="0"/>
          <w:sz w:val="40"/>
          <w:szCs w:val="28"/>
          <w:highlight w:val="none"/>
          <w:lang w:val="en-US" w:eastAsia="zh-CN"/>
        </w:rPr>
      </w:pPr>
    </w:p>
    <w:p w14:paraId="7C5AA3A1">
      <w:pPr>
        <w:pStyle w:val="5"/>
        <w:jc w:val="center"/>
        <w:rPr>
          <w:rFonts w:hint="eastAsia" w:ascii="仿宋_GB2312" w:hAnsi="宋体" w:eastAsia="仿宋_GB2312"/>
          <w:b/>
          <w:snapToGrid w:val="0"/>
          <w:color w:val="auto"/>
          <w:kern w:val="0"/>
          <w:sz w:val="40"/>
          <w:szCs w:val="28"/>
          <w:highlight w:val="none"/>
          <w:lang w:val="en-US" w:eastAsia="zh-CN"/>
        </w:rPr>
      </w:pPr>
    </w:p>
    <w:p w14:paraId="01F7CD6F">
      <w:pPr>
        <w:pStyle w:val="5"/>
        <w:jc w:val="center"/>
        <w:rPr>
          <w:rFonts w:hint="eastAsia" w:ascii="仿宋_GB2312" w:hAnsi="宋体" w:eastAsia="仿宋_GB2312"/>
          <w:b/>
          <w:snapToGrid w:val="0"/>
          <w:color w:val="auto"/>
          <w:kern w:val="0"/>
          <w:sz w:val="40"/>
          <w:szCs w:val="28"/>
          <w:highlight w:val="none"/>
          <w:lang w:val="en-US" w:eastAsia="zh-CN"/>
        </w:rPr>
      </w:pPr>
    </w:p>
    <w:p w14:paraId="5ADA940A">
      <w:pPr>
        <w:pStyle w:val="5"/>
        <w:jc w:val="center"/>
        <w:rPr>
          <w:rFonts w:hint="eastAsia" w:ascii="仿宋_GB2312" w:hAnsi="宋体" w:eastAsia="仿宋_GB2312"/>
          <w:b/>
          <w:snapToGrid w:val="0"/>
          <w:color w:val="auto"/>
          <w:kern w:val="0"/>
          <w:sz w:val="40"/>
          <w:szCs w:val="28"/>
          <w:highlight w:val="none"/>
          <w:lang w:val="en-US" w:eastAsia="zh-CN"/>
        </w:rPr>
      </w:pPr>
    </w:p>
    <w:p w14:paraId="49804EE0">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6AB3221F">
      <w:pPr>
        <w:rPr>
          <w:rFonts w:hint="eastAsia" w:ascii="方正仿宋_GBK" w:hAnsi="方正仿宋_GBK" w:eastAsia="方正仿宋_GBK" w:cs="方正仿宋_GBK"/>
          <w:color w:val="auto"/>
          <w:sz w:val="32"/>
          <w:szCs w:val="32"/>
          <w:highlight w:val="none"/>
          <w:lang w:val="en-US" w:eastAsia="zh-CN"/>
        </w:rPr>
      </w:pPr>
    </w:p>
    <w:p w14:paraId="6B7982B0">
      <w:pPr>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FE1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5A95B97"/>
    <w:rsid w:val="06FB539B"/>
    <w:rsid w:val="07F82B6D"/>
    <w:rsid w:val="08BF2007"/>
    <w:rsid w:val="0A7113D6"/>
    <w:rsid w:val="0B993AA9"/>
    <w:rsid w:val="0C872834"/>
    <w:rsid w:val="0C974041"/>
    <w:rsid w:val="0CE64C8D"/>
    <w:rsid w:val="0E440BB0"/>
    <w:rsid w:val="0E6637FD"/>
    <w:rsid w:val="0E6753E5"/>
    <w:rsid w:val="0E9F1F75"/>
    <w:rsid w:val="0F2F1F2B"/>
    <w:rsid w:val="0F4D0AAA"/>
    <w:rsid w:val="0F8419BC"/>
    <w:rsid w:val="0F9718DF"/>
    <w:rsid w:val="0FD01451"/>
    <w:rsid w:val="10046849"/>
    <w:rsid w:val="116E3FA7"/>
    <w:rsid w:val="122D0B62"/>
    <w:rsid w:val="133D5E0A"/>
    <w:rsid w:val="15D4217A"/>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B63FF5"/>
    <w:rsid w:val="29AE2A56"/>
    <w:rsid w:val="2C3529EE"/>
    <w:rsid w:val="2CCA628B"/>
    <w:rsid w:val="2E7836CB"/>
    <w:rsid w:val="2F2F3117"/>
    <w:rsid w:val="2FC44243"/>
    <w:rsid w:val="31092EA8"/>
    <w:rsid w:val="31B12793"/>
    <w:rsid w:val="33FB61AD"/>
    <w:rsid w:val="342C6BC9"/>
    <w:rsid w:val="35761799"/>
    <w:rsid w:val="359B4383"/>
    <w:rsid w:val="37662B39"/>
    <w:rsid w:val="376E6279"/>
    <w:rsid w:val="381B22F3"/>
    <w:rsid w:val="38A14340"/>
    <w:rsid w:val="396A2364"/>
    <w:rsid w:val="3A4D6DD9"/>
    <w:rsid w:val="3A6A181A"/>
    <w:rsid w:val="3A800389"/>
    <w:rsid w:val="3D485EC4"/>
    <w:rsid w:val="3D4E16A5"/>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6833347"/>
    <w:rsid w:val="59013DFD"/>
    <w:rsid w:val="59343196"/>
    <w:rsid w:val="599E0097"/>
    <w:rsid w:val="5A724AF0"/>
    <w:rsid w:val="5ADB7D78"/>
    <w:rsid w:val="5B7C2D04"/>
    <w:rsid w:val="5D6C0A93"/>
    <w:rsid w:val="5D915A0E"/>
    <w:rsid w:val="5DBD061A"/>
    <w:rsid w:val="5E932E93"/>
    <w:rsid w:val="5F6F1A2E"/>
    <w:rsid w:val="5FA4498B"/>
    <w:rsid w:val="60480506"/>
    <w:rsid w:val="61130716"/>
    <w:rsid w:val="61143219"/>
    <w:rsid w:val="61707CCC"/>
    <w:rsid w:val="61A6052D"/>
    <w:rsid w:val="623E37BE"/>
    <w:rsid w:val="626B6216"/>
    <w:rsid w:val="63814C5E"/>
    <w:rsid w:val="63FA2F2B"/>
    <w:rsid w:val="64077B7B"/>
    <w:rsid w:val="641D2F42"/>
    <w:rsid w:val="651C3DE1"/>
    <w:rsid w:val="65FD671D"/>
    <w:rsid w:val="66A178F0"/>
    <w:rsid w:val="67CF5844"/>
    <w:rsid w:val="685314B5"/>
    <w:rsid w:val="69841E39"/>
    <w:rsid w:val="69D01878"/>
    <w:rsid w:val="6A1F4430"/>
    <w:rsid w:val="6B247663"/>
    <w:rsid w:val="6D1F523E"/>
    <w:rsid w:val="6D38732A"/>
    <w:rsid w:val="6DD05A39"/>
    <w:rsid w:val="6EC6360F"/>
    <w:rsid w:val="6EE24C47"/>
    <w:rsid w:val="6FB8233D"/>
    <w:rsid w:val="6FB940CF"/>
    <w:rsid w:val="704D7FCB"/>
    <w:rsid w:val="71063344"/>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B77EA2"/>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14"/>
    <w:qFormat/>
    <w:uiPriority w:val="0"/>
    <w:pPr>
      <w:spacing w:line="360" w:lineRule="auto"/>
      <w:ind w:firstLine="420"/>
    </w:pPr>
    <w:rPr>
      <w:rFonts w:ascii="宋体" w:hAnsi="宋体"/>
      <w:sz w:val="24"/>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7"/>
    <w:qFormat/>
    <w:uiPriority w:val="0"/>
    <w:rPr>
      <w:rFonts w:ascii="楷体" w:hAnsi="楷体" w:eastAsia="楷体" w:cs="楷体"/>
      <w:color w:val="000000"/>
      <w:sz w:val="22"/>
      <w:szCs w:val="22"/>
      <w:u w:val="none"/>
      <w:vertAlign w:val="superscript"/>
    </w:rPr>
  </w:style>
  <w:style w:type="character" w:customStyle="1" w:styleId="23">
    <w:name w:val="font21"/>
    <w:basedOn w:val="17"/>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 w:type="character" w:customStyle="1" w:styleId="29">
    <w:name w:val="font11"/>
    <w:basedOn w:val="17"/>
    <w:qFormat/>
    <w:uiPriority w:val="0"/>
    <w:rPr>
      <w:rFonts w:hint="eastAsia" w:ascii="宋体" w:hAnsi="宋体" w:eastAsia="宋体" w:cs="宋体"/>
      <w:color w:val="000000"/>
      <w:sz w:val="24"/>
      <w:szCs w:val="24"/>
      <w:u w:val="none"/>
    </w:rPr>
  </w:style>
  <w:style w:type="paragraph" w:customStyle="1" w:styleId="30">
    <w:name w:val="Table Text"/>
    <w:basedOn w:val="1"/>
    <w:semiHidden/>
    <w:qFormat/>
    <w:uiPriority w:val="0"/>
    <w:rPr>
      <w:rFonts w:ascii="宋体" w:hAnsi="宋体" w:eastAsia="宋体" w:cs="宋体"/>
      <w:sz w:val="26"/>
      <w:szCs w:val="26"/>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5969</Words>
  <Characters>6224</Characters>
  <Lines>0</Lines>
  <Paragraphs>0</Paragraphs>
  <TotalTime>149</TotalTime>
  <ScaleCrop>false</ScaleCrop>
  <LinksUpToDate>false</LinksUpToDate>
  <CharactersWithSpaces>6952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2025-07-02T06:43:02Z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