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项目名称：打印机等一批</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项目编号：BSRMYY-YNCG-2024-10004</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6F95E2AC">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736FB06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投标供应商须为重庆市政府采购框架协议入围供应商。</w:t>
      </w:r>
    </w:p>
    <w:p w14:paraId="2FCD868B">
      <w:pPr>
        <w:pStyle w:val="17"/>
        <w:numPr>
          <w:ilvl w:val="4"/>
          <w:numId w:val="0"/>
        </w:numPr>
        <w:tabs>
          <w:tab w:val="clear" w:pos="3600"/>
        </w:tabs>
        <w:rPr>
          <w:rFonts w:hint="eastAsia"/>
          <w:lang w:eastAsia="zh-CN"/>
        </w:rPr>
      </w:pP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009"/>
        <w:gridCol w:w="2160"/>
        <w:gridCol w:w="1600"/>
        <w:gridCol w:w="872"/>
        <w:gridCol w:w="1342"/>
      </w:tblGrid>
      <w:tr w14:paraId="43C2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18474A3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2009" w:type="dxa"/>
            <w:noWrap w:val="0"/>
            <w:vAlign w:val="top"/>
          </w:tcPr>
          <w:p w14:paraId="78DB299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名称</w:t>
            </w:r>
          </w:p>
        </w:tc>
        <w:tc>
          <w:tcPr>
            <w:tcW w:w="2160" w:type="dxa"/>
            <w:noWrap w:val="0"/>
            <w:vAlign w:val="top"/>
          </w:tcPr>
          <w:p w14:paraId="6B2F57B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建议型号</w:t>
            </w:r>
          </w:p>
        </w:tc>
        <w:tc>
          <w:tcPr>
            <w:tcW w:w="1600" w:type="dxa"/>
            <w:noWrap w:val="0"/>
            <w:vAlign w:val="top"/>
          </w:tcPr>
          <w:p w14:paraId="0B90BE5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限价</w:t>
            </w:r>
          </w:p>
        </w:tc>
        <w:tc>
          <w:tcPr>
            <w:tcW w:w="872" w:type="dxa"/>
            <w:noWrap w:val="0"/>
            <w:vAlign w:val="top"/>
          </w:tcPr>
          <w:p w14:paraId="7AD04DA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数量</w:t>
            </w:r>
          </w:p>
        </w:tc>
        <w:tc>
          <w:tcPr>
            <w:tcW w:w="1342" w:type="dxa"/>
            <w:noWrap w:val="0"/>
            <w:vAlign w:val="top"/>
          </w:tcPr>
          <w:p w14:paraId="777521E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总价</w:t>
            </w:r>
          </w:p>
        </w:tc>
      </w:tr>
      <w:tr w14:paraId="6C76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3B5521C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w:t>
            </w:r>
          </w:p>
        </w:tc>
        <w:tc>
          <w:tcPr>
            <w:tcW w:w="2009" w:type="dxa"/>
            <w:noWrap w:val="0"/>
            <w:vAlign w:val="top"/>
          </w:tcPr>
          <w:p w14:paraId="408C12F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激光打印机</w:t>
            </w:r>
          </w:p>
        </w:tc>
        <w:tc>
          <w:tcPr>
            <w:tcW w:w="2160" w:type="dxa"/>
            <w:noWrap w:val="0"/>
            <w:vAlign w:val="top"/>
          </w:tcPr>
          <w:p w14:paraId="7C4393D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佳能LBP6018L</w:t>
            </w:r>
          </w:p>
        </w:tc>
        <w:tc>
          <w:tcPr>
            <w:tcW w:w="1600" w:type="dxa"/>
            <w:noWrap w:val="0"/>
            <w:vAlign w:val="top"/>
          </w:tcPr>
          <w:p w14:paraId="7D9AA26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1088元</w:t>
            </w:r>
          </w:p>
        </w:tc>
        <w:tc>
          <w:tcPr>
            <w:tcW w:w="872" w:type="dxa"/>
            <w:noWrap w:val="0"/>
            <w:vAlign w:val="top"/>
          </w:tcPr>
          <w:p w14:paraId="2DCC9D2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30台</w:t>
            </w:r>
          </w:p>
        </w:tc>
        <w:tc>
          <w:tcPr>
            <w:tcW w:w="1342" w:type="dxa"/>
            <w:noWrap w:val="0"/>
            <w:vAlign w:val="top"/>
          </w:tcPr>
          <w:p w14:paraId="2D307298">
            <w:pPr>
              <w:keepNext w:val="0"/>
              <w:keepLines w:val="0"/>
              <w:pageBreakBefore w:val="0"/>
              <w:widowControl w:val="0"/>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32640元</w:t>
            </w:r>
          </w:p>
        </w:tc>
      </w:tr>
      <w:tr w14:paraId="314A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12BD036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2</w:t>
            </w:r>
          </w:p>
        </w:tc>
        <w:tc>
          <w:tcPr>
            <w:tcW w:w="2009" w:type="dxa"/>
            <w:noWrap w:val="0"/>
            <w:vAlign w:val="top"/>
          </w:tcPr>
          <w:p w14:paraId="476858D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激光打印机</w:t>
            </w:r>
          </w:p>
        </w:tc>
        <w:tc>
          <w:tcPr>
            <w:tcW w:w="2160" w:type="dxa"/>
            <w:noWrap w:val="0"/>
            <w:vAlign w:val="top"/>
          </w:tcPr>
          <w:p w14:paraId="719D9F4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沧田P30DN</w:t>
            </w:r>
          </w:p>
        </w:tc>
        <w:tc>
          <w:tcPr>
            <w:tcW w:w="1600" w:type="dxa"/>
            <w:noWrap w:val="0"/>
            <w:vAlign w:val="top"/>
          </w:tcPr>
          <w:p w14:paraId="14036D0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1136元</w:t>
            </w:r>
          </w:p>
        </w:tc>
        <w:tc>
          <w:tcPr>
            <w:tcW w:w="872" w:type="dxa"/>
            <w:noWrap w:val="0"/>
            <w:vAlign w:val="top"/>
          </w:tcPr>
          <w:p w14:paraId="28B884A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20台</w:t>
            </w:r>
          </w:p>
        </w:tc>
        <w:tc>
          <w:tcPr>
            <w:tcW w:w="1342" w:type="dxa"/>
            <w:noWrap w:val="0"/>
            <w:vAlign w:val="top"/>
          </w:tcPr>
          <w:p w14:paraId="0F81FEBA">
            <w:pPr>
              <w:keepNext w:val="0"/>
              <w:keepLines w:val="0"/>
              <w:pageBreakBefore w:val="0"/>
              <w:widowControl w:val="0"/>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22720元</w:t>
            </w:r>
          </w:p>
        </w:tc>
      </w:tr>
      <w:tr w14:paraId="6E89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160CF95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3</w:t>
            </w:r>
          </w:p>
        </w:tc>
        <w:tc>
          <w:tcPr>
            <w:tcW w:w="2009" w:type="dxa"/>
            <w:noWrap w:val="0"/>
            <w:vAlign w:val="top"/>
          </w:tcPr>
          <w:p w14:paraId="24DFBD6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喷墨打印机</w:t>
            </w:r>
          </w:p>
        </w:tc>
        <w:tc>
          <w:tcPr>
            <w:tcW w:w="2160" w:type="dxa"/>
            <w:noWrap w:val="0"/>
            <w:vAlign w:val="top"/>
          </w:tcPr>
          <w:p w14:paraId="76B9164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爱普生L4269</w:t>
            </w:r>
          </w:p>
        </w:tc>
        <w:tc>
          <w:tcPr>
            <w:tcW w:w="1600" w:type="dxa"/>
            <w:noWrap w:val="0"/>
            <w:vAlign w:val="top"/>
          </w:tcPr>
          <w:p w14:paraId="533C782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1899元</w:t>
            </w:r>
          </w:p>
        </w:tc>
        <w:tc>
          <w:tcPr>
            <w:tcW w:w="872" w:type="dxa"/>
            <w:noWrap w:val="0"/>
            <w:vAlign w:val="top"/>
          </w:tcPr>
          <w:p w14:paraId="57676E2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15台</w:t>
            </w:r>
          </w:p>
        </w:tc>
        <w:tc>
          <w:tcPr>
            <w:tcW w:w="1342" w:type="dxa"/>
            <w:noWrap w:val="0"/>
            <w:vAlign w:val="top"/>
          </w:tcPr>
          <w:p w14:paraId="64F54385">
            <w:pPr>
              <w:keepNext w:val="0"/>
              <w:keepLines w:val="0"/>
              <w:pageBreakBefore w:val="0"/>
              <w:widowControl w:val="0"/>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28485元</w:t>
            </w:r>
          </w:p>
        </w:tc>
      </w:tr>
      <w:tr w14:paraId="3013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39145EF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4</w:t>
            </w:r>
          </w:p>
        </w:tc>
        <w:tc>
          <w:tcPr>
            <w:tcW w:w="2009" w:type="dxa"/>
            <w:noWrap w:val="0"/>
            <w:vAlign w:val="top"/>
          </w:tcPr>
          <w:p w14:paraId="40B6315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条码打印机</w:t>
            </w:r>
          </w:p>
        </w:tc>
        <w:tc>
          <w:tcPr>
            <w:tcW w:w="2160" w:type="dxa"/>
            <w:noWrap w:val="0"/>
            <w:vAlign w:val="top"/>
          </w:tcPr>
          <w:p w14:paraId="0C4D600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default" w:ascii="方正黑体_GBK" w:hAnsi="方正黑体_GBK" w:eastAsia="方正黑体_GBK" w:cs="方正黑体_GBK"/>
                <w:sz w:val="24"/>
                <w:szCs w:val="24"/>
                <w:vertAlign w:val="baseline"/>
                <w:lang w:val="en-US" w:eastAsia="zh-CN"/>
              </w:rPr>
              <w:t>斑马ZD888T</w:t>
            </w:r>
          </w:p>
        </w:tc>
        <w:tc>
          <w:tcPr>
            <w:tcW w:w="1600" w:type="dxa"/>
            <w:noWrap w:val="0"/>
            <w:vAlign w:val="top"/>
          </w:tcPr>
          <w:p w14:paraId="0479EEF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800元</w:t>
            </w:r>
          </w:p>
        </w:tc>
        <w:tc>
          <w:tcPr>
            <w:tcW w:w="872" w:type="dxa"/>
            <w:noWrap w:val="0"/>
            <w:vAlign w:val="top"/>
          </w:tcPr>
          <w:p w14:paraId="2158815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10台</w:t>
            </w:r>
          </w:p>
        </w:tc>
        <w:tc>
          <w:tcPr>
            <w:tcW w:w="1342" w:type="dxa"/>
            <w:noWrap w:val="0"/>
            <w:vAlign w:val="top"/>
          </w:tcPr>
          <w:p w14:paraId="43B91E9C">
            <w:pPr>
              <w:keepNext w:val="0"/>
              <w:keepLines w:val="0"/>
              <w:pageBreakBefore w:val="0"/>
              <w:widowControl w:val="0"/>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8000元</w:t>
            </w:r>
          </w:p>
        </w:tc>
      </w:tr>
      <w:tr w14:paraId="4879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0A7B6F6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5</w:t>
            </w:r>
          </w:p>
        </w:tc>
        <w:tc>
          <w:tcPr>
            <w:tcW w:w="2009" w:type="dxa"/>
            <w:noWrap w:val="0"/>
            <w:vAlign w:val="top"/>
          </w:tcPr>
          <w:p w14:paraId="289C285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多功能一体机</w:t>
            </w:r>
          </w:p>
        </w:tc>
        <w:tc>
          <w:tcPr>
            <w:tcW w:w="2160" w:type="dxa"/>
            <w:noWrap w:val="0"/>
            <w:vAlign w:val="top"/>
          </w:tcPr>
          <w:p w14:paraId="1C1278E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default" w:ascii="方正黑体_GBK" w:hAnsi="方正黑体_GBK" w:eastAsia="方正黑体_GBK" w:cs="方正黑体_GBK"/>
                <w:sz w:val="24"/>
                <w:szCs w:val="24"/>
                <w:vertAlign w:val="baseline"/>
                <w:lang w:val="en-US" w:eastAsia="zh-CN"/>
              </w:rPr>
              <w:t>至像M3070DNA</w:t>
            </w:r>
          </w:p>
        </w:tc>
        <w:tc>
          <w:tcPr>
            <w:tcW w:w="1600" w:type="dxa"/>
            <w:noWrap w:val="0"/>
            <w:vAlign w:val="top"/>
          </w:tcPr>
          <w:p w14:paraId="6C9385E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1850元</w:t>
            </w:r>
          </w:p>
        </w:tc>
        <w:tc>
          <w:tcPr>
            <w:tcW w:w="872" w:type="dxa"/>
            <w:noWrap w:val="0"/>
            <w:vAlign w:val="top"/>
          </w:tcPr>
          <w:p w14:paraId="0DE505A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8台</w:t>
            </w:r>
          </w:p>
        </w:tc>
        <w:tc>
          <w:tcPr>
            <w:tcW w:w="1342" w:type="dxa"/>
            <w:noWrap w:val="0"/>
            <w:vAlign w:val="top"/>
          </w:tcPr>
          <w:p w14:paraId="77E17D8C">
            <w:pPr>
              <w:keepNext w:val="0"/>
              <w:keepLines w:val="0"/>
              <w:pageBreakBefore w:val="0"/>
              <w:widowControl w:val="0"/>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14800元</w:t>
            </w:r>
          </w:p>
        </w:tc>
      </w:tr>
      <w:tr w14:paraId="3659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0EC8BBB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6</w:t>
            </w:r>
          </w:p>
        </w:tc>
        <w:tc>
          <w:tcPr>
            <w:tcW w:w="2009" w:type="dxa"/>
            <w:noWrap w:val="0"/>
            <w:vAlign w:val="top"/>
          </w:tcPr>
          <w:p w14:paraId="2F9763A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多功能一体机</w:t>
            </w:r>
          </w:p>
        </w:tc>
        <w:tc>
          <w:tcPr>
            <w:tcW w:w="2160" w:type="dxa"/>
            <w:noWrap w:val="0"/>
            <w:vAlign w:val="top"/>
          </w:tcPr>
          <w:p w14:paraId="1598B9F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default" w:ascii="方正黑体_GBK" w:hAnsi="方正黑体_GBK" w:eastAsia="方正黑体_GBK" w:cs="方正黑体_GBK"/>
                <w:sz w:val="24"/>
                <w:szCs w:val="24"/>
                <w:vertAlign w:val="baseline"/>
                <w:lang w:val="en-US" w:eastAsia="zh-CN"/>
              </w:rPr>
              <w:t>奔图M7180DN</w:t>
            </w:r>
          </w:p>
        </w:tc>
        <w:tc>
          <w:tcPr>
            <w:tcW w:w="1600" w:type="dxa"/>
            <w:noWrap w:val="0"/>
            <w:vAlign w:val="top"/>
          </w:tcPr>
          <w:p w14:paraId="44CB93D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2300元</w:t>
            </w:r>
          </w:p>
        </w:tc>
        <w:tc>
          <w:tcPr>
            <w:tcW w:w="872" w:type="dxa"/>
            <w:noWrap w:val="0"/>
            <w:vAlign w:val="top"/>
          </w:tcPr>
          <w:p w14:paraId="14AB6CB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5台</w:t>
            </w:r>
          </w:p>
        </w:tc>
        <w:tc>
          <w:tcPr>
            <w:tcW w:w="1342" w:type="dxa"/>
            <w:noWrap w:val="0"/>
            <w:vAlign w:val="top"/>
          </w:tcPr>
          <w:p w14:paraId="02A454C1">
            <w:pPr>
              <w:keepNext w:val="0"/>
              <w:keepLines w:val="0"/>
              <w:pageBreakBefore w:val="0"/>
              <w:widowControl w:val="0"/>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11500元</w:t>
            </w:r>
          </w:p>
        </w:tc>
      </w:tr>
      <w:tr w14:paraId="342E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06EDA80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7</w:t>
            </w:r>
          </w:p>
        </w:tc>
        <w:tc>
          <w:tcPr>
            <w:tcW w:w="2009" w:type="dxa"/>
            <w:noWrap w:val="0"/>
            <w:vAlign w:val="top"/>
          </w:tcPr>
          <w:p w14:paraId="40295E6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多功能一体机</w:t>
            </w:r>
          </w:p>
        </w:tc>
        <w:tc>
          <w:tcPr>
            <w:tcW w:w="2160" w:type="dxa"/>
            <w:noWrap w:val="0"/>
            <w:vAlign w:val="top"/>
          </w:tcPr>
          <w:p w14:paraId="617CA3E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default" w:ascii="方正黑体_GBK" w:hAnsi="方正黑体_GBK" w:eastAsia="方正黑体_GBK" w:cs="方正黑体_GBK"/>
                <w:sz w:val="24"/>
                <w:szCs w:val="24"/>
                <w:vertAlign w:val="baseline"/>
                <w:lang w:val="en-US" w:eastAsia="zh-CN"/>
              </w:rPr>
              <w:t>爱普生L4263</w:t>
            </w:r>
          </w:p>
        </w:tc>
        <w:tc>
          <w:tcPr>
            <w:tcW w:w="1600" w:type="dxa"/>
            <w:noWrap w:val="0"/>
            <w:vAlign w:val="top"/>
          </w:tcPr>
          <w:p w14:paraId="085F123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1799元</w:t>
            </w:r>
          </w:p>
        </w:tc>
        <w:tc>
          <w:tcPr>
            <w:tcW w:w="872" w:type="dxa"/>
            <w:noWrap w:val="0"/>
            <w:vAlign w:val="top"/>
          </w:tcPr>
          <w:p w14:paraId="67E0B08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2台</w:t>
            </w:r>
          </w:p>
        </w:tc>
        <w:tc>
          <w:tcPr>
            <w:tcW w:w="1342" w:type="dxa"/>
            <w:noWrap w:val="0"/>
            <w:vAlign w:val="top"/>
          </w:tcPr>
          <w:p w14:paraId="0ACDA505">
            <w:pPr>
              <w:keepNext w:val="0"/>
              <w:keepLines w:val="0"/>
              <w:pageBreakBefore w:val="0"/>
              <w:widowControl w:val="0"/>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3598元</w:t>
            </w:r>
          </w:p>
        </w:tc>
      </w:tr>
      <w:tr w14:paraId="7164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118F6BD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8</w:t>
            </w:r>
          </w:p>
        </w:tc>
        <w:tc>
          <w:tcPr>
            <w:tcW w:w="2009" w:type="dxa"/>
            <w:noWrap w:val="0"/>
            <w:vAlign w:val="top"/>
          </w:tcPr>
          <w:p w14:paraId="4FECF11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数码复合机</w:t>
            </w:r>
          </w:p>
        </w:tc>
        <w:tc>
          <w:tcPr>
            <w:tcW w:w="2160" w:type="dxa"/>
            <w:noWrap w:val="0"/>
            <w:vAlign w:val="top"/>
          </w:tcPr>
          <w:p w14:paraId="251CBAF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default" w:ascii="方正黑体_GBK" w:hAnsi="方正黑体_GBK" w:eastAsia="方正黑体_GBK" w:cs="方正黑体_GBK"/>
                <w:sz w:val="24"/>
                <w:szCs w:val="24"/>
                <w:vertAlign w:val="baseline"/>
                <w:lang w:val="en-US" w:eastAsia="zh-CN"/>
              </w:rPr>
              <w:t>佳能C5850</w:t>
            </w:r>
          </w:p>
        </w:tc>
        <w:tc>
          <w:tcPr>
            <w:tcW w:w="1600" w:type="dxa"/>
            <w:noWrap w:val="0"/>
            <w:vAlign w:val="top"/>
          </w:tcPr>
          <w:p w14:paraId="351A83B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105000元</w:t>
            </w:r>
          </w:p>
        </w:tc>
        <w:tc>
          <w:tcPr>
            <w:tcW w:w="872" w:type="dxa"/>
            <w:noWrap w:val="0"/>
            <w:vAlign w:val="top"/>
          </w:tcPr>
          <w:p w14:paraId="7CF2E6C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1台</w:t>
            </w:r>
          </w:p>
        </w:tc>
        <w:tc>
          <w:tcPr>
            <w:tcW w:w="1342" w:type="dxa"/>
            <w:noWrap w:val="0"/>
            <w:vAlign w:val="top"/>
          </w:tcPr>
          <w:p w14:paraId="1843C35A">
            <w:pPr>
              <w:keepNext w:val="0"/>
              <w:keepLines w:val="0"/>
              <w:pageBreakBefore w:val="0"/>
              <w:widowControl w:val="0"/>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105000元</w:t>
            </w:r>
          </w:p>
        </w:tc>
      </w:tr>
      <w:tr w14:paraId="556C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440397A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9</w:t>
            </w:r>
          </w:p>
        </w:tc>
        <w:tc>
          <w:tcPr>
            <w:tcW w:w="2009" w:type="dxa"/>
            <w:noWrap w:val="0"/>
            <w:vAlign w:val="top"/>
          </w:tcPr>
          <w:p w14:paraId="67E8623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数码复合机</w:t>
            </w:r>
          </w:p>
        </w:tc>
        <w:tc>
          <w:tcPr>
            <w:tcW w:w="2160" w:type="dxa"/>
            <w:noWrap w:val="0"/>
            <w:vAlign w:val="top"/>
          </w:tcPr>
          <w:p w14:paraId="07CB7FE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default" w:ascii="方正黑体_GBK" w:hAnsi="方正黑体_GBK" w:eastAsia="方正黑体_GBK" w:cs="方正黑体_GBK"/>
                <w:sz w:val="24"/>
                <w:szCs w:val="24"/>
                <w:vertAlign w:val="baseline"/>
                <w:lang w:val="en-US" w:eastAsia="zh-CN"/>
              </w:rPr>
              <w:t>柯美C300i</w:t>
            </w:r>
          </w:p>
        </w:tc>
        <w:tc>
          <w:tcPr>
            <w:tcW w:w="1600" w:type="dxa"/>
            <w:noWrap w:val="0"/>
            <w:vAlign w:val="top"/>
          </w:tcPr>
          <w:p w14:paraId="190FD82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24500元</w:t>
            </w:r>
          </w:p>
        </w:tc>
        <w:tc>
          <w:tcPr>
            <w:tcW w:w="872" w:type="dxa"/>
            <w:noWrap w:val="0"/>
            <w:vAlign w:val="top"/>
          </w:tcPr>
          <w:p w14:paraId="28A8416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1台</w:t>
            </w:r>
          </w:p>
        </w:tc>
        <w:tc>
          <w:tcPr>
            <w:tcW w:w="1342" w:type="dxa"/>
            <w:noWrap w:val="0"/>
            <w:vAlign w:val="top"/>
          </w:tcPr>
          <w:p w14:paraId="4590C424">
            <w:pPr>
              <w:keepNext w:val="0"/>
              <w:keepLines w:val="0"/>
              <w:pageBreakBefore w:val="0"/>
              <w:widowControl w:val="0"/>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24500元</w:t>
            </w:r>
          </w:p>
        </w:tc>
      </w:tr>
      <w:tr w14:paraId="691A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gridSpan w:val="4"/>
            <w:noWrap w:val="0"/>
            <w:vAlign w:val="top"/>
          </w:tcPr>
          <w:p w14:paraId="1225C20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合计</w:t>
            </w:r>
          </w:p>
        </w:tc>
        <w:tc>
          <w:tcPr>
            <w:tcW w:w="872" w:type="dxa"/>
            <w:noWrap w:val="0"/>
            <w:vAlign w:val="top"/>
          </w:tcPr>
          <w:p w14:paraId="461ACFC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92台</w:t>
            </w:r>
          </w:p>
        </w:tc>
        <w:tc>
          <w:tcPr>
            <w:tcW w:w="1342" w:type="dxa"/>
            <w:noWrap w:val="0"/>
            <w:vAlign w:val="top"/>
          </w:tcPr>
          <w:p w14:paraId="2046F09A">
            <w:pPr>
              <w:keepNext w:val="0"/>
              <w:keepLines w:val="0"/>
              <w:pageBreakBefore w:val="0"/>
              <w:widowControl w:val="0"/>
              <w:tabs>
                <w:tab w:val="left" w:pos="552"/>
              </w:tabs>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251243元</w:t>
            </w:r>
          </w:p>
        </w:tc>
      </w:tr>
      <w:tr w14:paraId="1263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2" w:type="dxa"/>
            <w:gridSpan w:val="6"/>
            <w:noWrap w:val="0"/>
            <w:vAlign w:val="top"/>
          </w:tcPr>
          <w:p w14:paraId="38FD0BE9">
            <w:pPr>
              <w:keepNext w:val="0"/>
              <w:keepLines w:val="0"/>
              <w:pageBreakBefore w:val="0"/>
              <w:widowControl w:val="0"/>
              <w:tabs>
                <w:tab w:val="left" w:pos="552"/>
              </w:tabs>
              <w:kinsoku/>
              <w:wordWrap/>
              <w:overflowPunct/>
              <w:topLinePunct w:val="0"/>
              <w:autoSpaceDE/>
              <w:autoSpaceDN/>
              <w:bidi w:val="0"/>
              <w:adjustRightInd/>
              <w:snapToGrid/>
              <w:spacing w:line="480" w:lineRule="exact"/>
              <w:ind w:firstLine="0" w:firstLineChars="0"/>
              <w:jc w:val="left"/>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特别说明：</w:t>
            </w:r>
          </w:p>
          <w:p w14:paraId="273933C1">
            <w:pPr>
              <w:keepNext w:val="0"/>
              <w:keepLines w:val="0"/>
              <w:pageBreakBefore w:val="0"/>
              <w:widowControl w:val="0"/>
              <w:numPr>
                <w:ilvl w:val="0"/>
                <w:numId w:val="0"/>
              </w:numPr>
              <w:tabs>
                <w:tab w:val="left" w:pos="552"/>
              </w:tabs>
              <w:kinsoku/>
              <w:wordWrap/>
              <w:overflowPunct/>
              <w:topLinePunct w:val="0"/>
              <w:autoSpaceDE/>
              <w:autoSpaceDN/>
              <w:bidi w:val="0"/>
              <w:adjustRightInd/>
              <w:snapToGrid/>
              <w:spacing w:line="480" w:lineRule="exact"/>
              <w:ind w:leftChars="0"/>
              <w:jc w:val="left"/>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以上所有单价均为全费用综合单价，包含设备费、运输费、安装调试费、验收检测费、利润、税金、质保期内维护保养等完成本项清单所需的一切费用，因成交供应商自身原因造成漏报、少报皆由其自行承担责任，采购人不再补偿；</w:t>
            </w:r>
          </w:p>
          <w:p w14:paraId="46C59629">
            <w:pPr>
              <w:keepNext w:val="0"/>
              <w:keepLines w:val="0"/>
              <w:pageBreakBefore w:val="0"/>
              <w:widowControl w:val="0"/>
              <w:numPr>
                <w:ilvl w:val="0"/>
                <w:numId w:val="0"/>
              </w:numPr>
              <w:tabs>
                <w:tab w:val="left" w:pos="552"/>
              </w:tabs>
              <w:kinsoku/>
              <w:wordWrap/>
              <w:overflowPunct/>
              <w:topLinePunct w:val="0"/>
              <w:autoSpaceDE/>
              <w:autoSpaceDN/>
              <w:bidi w:val="0"/>
              <w:adjustRightInd/>
              <w:snapToGrid/>
              <w:spacing w:line="480" w:lineRule="exact"/>
              <w:ind w:leftChars="0"/>
              <w:jc w:val="lef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2.除条码打印机外，其余设备后续均需在框架协议平台完成采购，投标供应商需为框架协议中所投产品的入围供应商。</w:t>
            </w:r>
          </w:p>
        </w:tc>
      </w:tr>
    </w:tbl>
    <w:p w14:paraId="50068413">
      <w:pPr>
        <w:pStyle w:val="25"/>
        <w:numPr>
          <w:ilvl w:val="0"/>
          <w:numId w:val="0"/>
        </w:numPr>
        <w:rPr>
          <w:rFonts w:hint="eastAsia" w:ascii="方正仿宋_GBK" w:hAnsi="方正仿宋_GBK" w:eastAsia="方正仿宋_GBK" w:cs="方正仿宋_GBK"/>
          <w:b/>
          <w:bCs/>
          <w:sz w:val="28"/>
          <w:szCs w:val="28"/>
          <w:lang w:eastAsia="zh-CN"/>
        </w:rPr>
      </w:pPr>
    </w:p>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1FAA53FA">
      <w:pPr>
        <w:pStyle w:val="25"/>
        <w:numPr>
          <w:ilvl w:val="0"/>
          <w:numId w:val="0"/>
        </w:numPr>
        <w:ind w:firstLine="562"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b/>
          <w:bCs/>
          <w:color w:val="auto"/>
          <w:kern w:val="0"/>
          <w:sz w:val="28"/>
          <w:szCs w:val="28"/>
          <w:lang w:val="en-US" w:eastAsia="zh-CN" w:bidi="ar-SA"/>
        </w:rPr>
        <w:t>1.投标要求</w:t>
      </w:r>
    </w:p>
    <w:p w14:paraId="52BAC639">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（1）投标人在准备投标书时，务必在所提供的商品的技术规格文件中，标明型号、商标名称、目录号。</w:t>
      </w:r>
    </w:p>
    <w:p w14:paraId="3147BB8F">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拒绝其投标。如交付后发现投标人有意隐瞒对规格要求的偏差，买方有权扣压货物并拒绝其参与其他项目投标，同时要求投标人承担一切法律责任和损失。</w:t>
      </w:r>
    </w:p>
    <w:p w14:paraId="459D9480">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（3）投标人提供的产品样本，必须是“原件”而非复印件，图表、简图、电路图以及印刷电路板图等都应清晰易读。买方有权不付任何附加费用复制这些资料以供参考。</w:t>
      </w:r>
    </w:p>
    <w:p w14:paraId="11F29917">
      <w:pPr>
        <w:pStyle w:val="25"/>
        <w:numPr>
          <w:ilvl w:val="0"/>
          <w:numId w:val="0"/>
        </w:numPr>
        <w:ind w:firstLine="562" w:firstLineChars="200"/>
        <w:rPr>
          <w:rFonts w:hint="eastAsia" w:ascii="方正仿宋_GBK" w:hAnsi="方正仿宋_GBK" w:eastAsia="方正仿宋_GBK" w:cs="方正仿宋_GBK"/>
          <w:b/>
          <w:bCs/>
          <w:color w:val="auto"/>
          <w:kern w:val="0"/>
          <w:sz w:val="28"/>
          <w:szCs w:val="28"/>
          <w:lang w:val="en-US" w:eastAsia="zh-CN" w:bidi="ar-SA"/>
        </w:rPr>
      </w:pPr>
      <w:r>
        <w:rPr>
          <w:rFonts w:hint="eastAsia" w:ascii="方正仿宋_GBK" w:hAnsi="方正仿宋_GBK" w:eastAsia="方正仿宋_GBK" w:cs="方正仿宋_GBK"/>
          <w:b/>
          <w:bCs/>
          <w:color w:val="auto"/>
          <w:kern w:val="0"/>
          <w:sz w:val="28"/>
          <w:szCs w:val="28"/>
          <w:lang w:val="en-US" w:eastAsia="zh-CN" w:bidi="ar-SA"/>
        </w:rPr>
        <w:t>2.工作条件</w:t>
      </w:r>
    </w:p>
    <w:p w14:paraId="44A54E29">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如货物需要特殊工作条件（如水、电源、磁场强度、温度、湿度、动强度等）投标人应在投标书中加以说明。</w:t>
      </w:r>
    </w:p>
    <w:p w14:paraId="65827E7B">
      <w:pPr>
        <w:pStyle w:val="25"/>
        <w:numPr>
          <w:ilvl w:val="0"/>
          <w:numId w:val="0"/>
        </w:numPr>
        <w:ind w:firstLine="562" w:firstLineChars="200"/>
        <w:rPr>
          <w:rFonts w:hint="eastAsia" w:ascii="方正仿宋_GBK" w:hAnsi="方正仿宋_GBK" w:eastAsia="方正仿宋_GBK" w:cs="方正仿宋_GBK"/>
          <w:b/>
          <w:bCs/>
          <w:color w:val="auto"/>
          <w:kern w:val="0"/>
          <w:sz w:val="28"/>
          <w:szCs w:val="28"/>
          <w:lang w:val="en-US" w:eastAsia="zh-CN" w:bidi="ar-SA"/>
        </w:rPr>
      </w:pPr>
      <w:r>
        <w:rPr>
          <w:rFonts w:hint="eastAsia" w:ascii="方正仿宋_GBK" w:hAnsi="方正仿宋_GBK" w:eastAsia="方正仿宋_GBK" w:cs="方正仿宋_GBK"/>
          <w:b/>
          <w:bCs/>
          <w:color w:val="auto"/>
          <w:kern w:val="0"/>
          <w:sz w:val="28"/>
          <w:szCs w:val="28"/>
          <w:lang w:val="en-US" w:eastAsia="zh-CN" w:bidi="ar-SA"/>
        </w:rPr>
        <w:t>3.包装和运输</w:t>
      </w:r>
    </w:p>
    <w:p w14:paraId="1BB603C0">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（1）标志、包装、运输和贮存应符合政府采购需求标准的相关规定。</w:t>
      </w:r>
    </w:p>
    <w:p w14:paraId="18EE704F">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（2）产品的标志还应包含设备序列号（Serial Number），且应与产品机身及管理工具获取的设备序列号（Serial Number）一致。</w:t>
      </w:r>
    </w:p>
    <w:p w14:paraId="7DA45DBF">
      <w:pPr>
        <w:pStyle w:val="25"/>
        <w:numPr>
          <w:ilvl w:val="0"/>
          <w:numId w:val="0"/>
        </w:numPr>
        <w:ind w:firstLine="562" w:firstLineChars="200"/>
        <w:rPr>
          <w:rFonts w:hint="eastAsia" w:ascii="方正仿宋_GBK" w:hAnsi="方正仿宋_GBK" w:eastAsia="方正仿宋_GBK" w:cs="方正仿宋_GBK"/>
          <w:b/>
          <w:bCs/>
          <w:color w:val="auto"/>
          <w:kern w:val="0"/>
          <w:sz w:val="28"/>
          <w:szCs w:val="28"/>
          <w:lang w:val="en-US" w:eastAsia="zh-CN" w:bidi="ar-SA"/>
        </w:rPr>
      </w:pPr>
      <w:r>
        <w:rPr>
          <w:rFonts w:hint="eastAsia" w:ascii="方正仿宋_GBK" w:hAnsi="方正仿宋_GBK" w:eastAsia="方正仿宋_GBK" w:cs="方正仿宋_GBK"/>
          <w:b/>
          <w:bCs/>
          <w:color w:val="auto"/>
          <w:kern w:val="0"/>
          <w:sz w:val="28"/>
          <w:szCs w:val="28"/>
          <w:lang w:val="en-US" w:eastAsia="zh-CN" w:bidi="ar-SA"/>
        </w:rPr>
        <w:t>4.安装调试</w:t>
      </w:r>
    </w:p>
    <w:p w14:paraId="65A0D79A">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（1）中标方必须在约定时间内将依照采购方要求的数量将合同货物送到采购方指定地点；中标方必须向采购采购方提供安装所需的材料、技术资料及组装/维修所需工具。</w:t>
      </w:r>
    </w:p>
    <w:p w14:paraId="33886EBC">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（2）中标方派出的安装人员应具备相关的专业知识、技术水平、相应资质和能力；熟悉本合同所述货物的规格、技术指标及安装工艺，有足够能力安装、调试本合同的货物并使之达到本合同要求。</w:t>
      </w:r>
    </w:p>
    <w:p w14:paraId="526D8429">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（3）中标方提供免费的设备到货、安装等工作。安装调试费用均在本项目报价中包含，中标人不得以任何借口另行收取费用。</w:t>
      </w:r>
    </w:p>
    <w:p w14:paraId="4FE8FE3B">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（4）本次项目所涉及的软件和硬件，可由中标商或联合原厂免费提供调试服务。</w:t>
      </w:r>
    </w:p>
    <w:p w14:paraId="66A4031F">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（5）中标方指定专门人员负责整个项目过程，与我单位负责人一起全权负责项目管理和协调项目中出现的问题，管理项目进度、协调本方资源等多方面的工作。</w:t>
      </w:r>
    </w:p>
    <w:p w14:paraId="6545D807">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（6）中标方应提供驱动的安装光盘或下载方式；</w:t>
      </w:r>
    </w:p>
    <w:p w14:paraId="236C74F7">
      <w:pPr>
        <w:pStyle w:val="25"/>
        <w:numPr>
          <w:ilvl w:val="0"/>
          <w:numId w:val="0"/>
        </w:numPr>
        <w:ind w:firstLine="562" w:firstLineChars="200"/>
        <w:rPr>
          <w:rFonts w:hint="eastAsia" w:ascii="方正仿宋_GBK" w:hAnsi="方正仿宋_GBK" w:eastAsia="方正仿宋_GBK" w:cs="方正仿宋_GBK"/>
          <w:b/>
          <w:bCs/>
          <w:color w:val="auto"/>
          <w:kern w:val="0"/>
          <w:sz w:val="28"/>
          <w:szCs w:val="28"/>
          <w:lang w:val="en-US" w:eastAsia="zh-CN" w:bidi="ar-SA"/>
        </w:rPr>
      </w:pPr>
      <w:r>
        <w:rPr>
          <w:rFonts w:hint="eastAsia" w:ascii="方正仿宋_GBK" w:hAnsi="方正仿宋_GBK" w:eastAsia="方正仿宋_GBK" w:cs="方正仿宋_GBK"/>
          <w:b/>
          <w:bCs/>
          <w:color w:val="auto"/>
          <w:kern w:val="0"/>
          <w:sz w:val="28"/>
          <w:szCs w:val="28"/>
          <w:lang w:val="en-US" w:eastAsia="zh-CN" w:bidi="ar-SA"/>
        </w:rPr>
        <w:t>5.培训方案</w:t>
      </w:r>
    </w:p>
    <w:p w14:paraId="7B3B664F">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（1）提供培训材料、产品维修手册、培训视频等培训相关内容，提供典型问题解决说明文档或视频；</w:t>
      </w:r>
    </w:p>
    <w:p w14:paraId="41085827">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（2）提供设备原厂免费培训服务，至少一次；</w:t>
      </w:r>
    </w:p>
    <w:p w14:paraId="57D78DC2">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（3）质保期内系统更新升级或增加功能时，中标人组织适当范围的免费培训，对买方技术管理人员进行现场讲解与现场技术指导。</w:t>
      </w:r>
    </w:p>
    <w:p w14:paraId="08C3134C">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（4）中标方提供的培训指的是涉及货物的基本原理、操作使用和保养维修等有关内容的培训。培训教员的培训费、旅费、食宿费等费用和培训场地费及培训资料费均应由卖方支付。</w:t>
      </w:r>
    </w:p>
    <w:p w14:paraId="499C990D">
      <w:pPr>
        <w:pStyle w:val="25"/>
        <w:numPr>
          <w:ilvl w:val="0"/>
          <w:numId w:val="0"/>
        </w:numPr>
        <w:ind w:firstLine="562" w:firstLineChars="200"/>
        <w:rPr>
          <w:rFonts w:hint="eastAsia" w:ascii="方正仿宋_GBK" w:hAnsi="方正仿宋_GBK" w:eastAsia="方正仿宋_GBK" w:cs="方正仿宋_GBK"/>
          <w:b/>
          <w:bCs/>
          <w:color w:val="auto"/>
          <w:kern w:val="0"/>
          <w:sz w:val="28"/>
          <w:szCs w:val="28"/>
          <w:lang w:val="en-US" w:eastAsia="zh-CN" w:bidi="ar-SA"/>
        </w:rPr>
      </w:pPr>
      <w:r>
        <w:rPr>
          <w:rFonts w:hint="eastAsia" w:ascii="方正仿宋_GBK" w:hAnsi="方正仿宋_GBK" w:eastAsia="方正仿宋_GBK" w:cs="方正仿宋_GBK"/>
          <w:b/>
          <w:bCs/>
          <w:color w:val="auto"/>
          <w:kern w:val="0"/>
          <w:sz w:val="28"/>
          <w:szCs w:val="28"/>
          <w:lang w:val="en-US" w:eastAsia="zh-CN" w:bidi="ar-SA"/>
        </w:rPr>
        <w:t>6.服务及响应</w:t>
      </w:r>
    </w:p>
    <w:p w14:paraId="7FF56C6F">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（1）中标方应提供现场、电话、电子邮件、远程连接等多种形式服务；</w:t>
      </w:r>
    </w:p>
    <w:p w14:paraId="094A5C2A">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（2）提供同城7 x 24小时的 5分钟内电话响应服务，电话支持服务5分钟内无法解决问题的，应在15分钟内抵达设备使用现场处理，首次响应后2小时内无法解决问题，应在4小时内提供周转设备或更换设备，并提供可行的维修升级方案；</w:t>
      </w:r>
    </w:p>
    <w:p w14:paraId="26D78D15">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（3）产品免费服务周期（含固件升级、硬件换件和维修等质保内容，配件、人力、交通等任何费用全免）不低于 1年；</w:t>
      </w:r>
    </w:p>
    <w:p w14:paraId="68DFB78C">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（4）设备质保到期后应继续提供质量保障服务（含备品备件），服务终止时间与最后一批设备交付时间间隔不低于6年。</w:t>
      </w:r>
    </w:p>
    <w:p w14:paraId="11BDC3B1">
      <w:pPr>
        <w:pStyle w:val="25"/>
        <w:numPr>
          <w:ilvl w:val="0"/>
          <w:numId w:val="0"/>
        </w:numPr>
        <w:ind w:firstLine="562" w:firstLineChars="200"/>
        <w:rPr>
          <w:rFonts w:hint="eastAsia" w:ascii="方正仿宋_GBK" w:hAnsi="方正仿宋_GBK" w:eastAsia="方正仿宋_GBK" w:cs="方正仿宋_GBK"/>
          <w:b/>
          <w:bCs/>
          <w:color w:val="auto"/>
          <w:kern w:val="0"/>
          <w:sz w:val="28"/>
          <w:szCs w:val="28"/>
          <w:lang w:val="en-US" w:eastAsia="zh-CN" w:bidi="ar-SA"/>
        </w:rPr>
      </w:pPr>
      <w:r>
        <w:rPr>
          <w:rFonts w:hint="eastAsia" w:ascii="方正仿宋_GBK" w:hAnsi="方正仿宋_GBK" w:eastAsia="方正仿宋_GBK" w:cs="方正仿宋_GBK"/>
          <w:b/>
          <w:bCs/>
          <w:color w:val="auto"/>
          <w:kern w:val="0"/>
          <w:sz w:val="28"/>
          <w:szCs w:val="28"/>
          <w:lang w:val="en-US" w:eastAsia="zh-CN" w:bidi="ar-SA"/>
        </w:rPr>
        <w:t>7.验收方案</w:t>
      </w:r>
    </w:p>
    <w:p w14:paraId="0F5AD6CB">
      <w:pPr>
        <w:pStyle w:val="25"/>
        <w:numPr>
          <w:ilvl w:val="0"/>
          <w:numId w:val="0"/>
        </w:numPr>
        <w:ind w:firstLine="280" w:firstLineChars="1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w:t>
      </w:r>
      <w:r>
        <w:rPr>
          <w:rFonts w:hint="default" w:ascii="方正仿宋_GBK" w:hAnsi="方正仿宋_GBK" w:eastAsia="方正仿宋_GBK" w:cs="方正仿宋_GBK"/>
          <w:color w:val="auto"/>
          <w:kern w:val="0"/>
          <w:sz w:val="28"/>
          <w:szCs w:val="28"/>
          <w:lang w:val="en-US" w:eastAsia="zh-CN" w:bidi="ar-SA"/>
        </w:rPr>
        <w:t>验收标准</w:t>
      </w:r>
      <w:r>
        <w:rPr>
          <w:rFonts w:hint="eastAsia" w:ascii="方正仿宋_GBK" w:hAnsi="方正仿宋_GBK" w:eastAsia="方正仿宋_GBK" w:cs="方正仿宋_GBK"/>
          <w:color w:val="auto"/>
          <w:kern w:val="0"/>
          <w:sz w:val="28"/>
          <w:szCs w:val="28"/>
          <w:lang w:val="en-US" w:eastAsia="zh-CN" w:bidi="ar-SA"/>
        </w:rPr>
        <w:t>：验收以招标文件、投标文件、补充文件（若有）、合同、补充合同（若有）为依据。</w:t>
      </w:r>
    </w:p>
    <w:p w14:paraId="2F843D6A">
      <w:pPr>
        <w:pStyle w:val="25"/>
        <w:numPr>
          <w:ilvl w:val="0"/>
          <w:numId w:val="0"/>
        </w:numPr>
        <w:ind w:firstLine="280" w:firstLineChars="1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w:t>
      </w:r>
      <w:r>
        <w:rPr>
          <w:rFonts w:hint="default" w:ascii="方正仿宋_GBK" w:hAnsi="方正仿宋_GBK" w:eastAsia="方正仿宋_GBK" w:cs="方正仿宋_GBK"/>
          <w:color w:val="auto"/>
          <w:kern w:val="0"/>
          <w:sz w:val="28"/>
          <w:szCs w:val="28"/>
          <w:lang w:val="en-US" w:eastAsia="zh-CN" w:bidi="ar-SA"/>
        </w:rPr>
        <w:t>验收主体：重庆市璧山区人民医院</w:t>
      </w:r>
    </w:p>
    <w:p w14:paraId="5640320C">
      <w:pPr>
        <w:pStyle w:val="25"/>
        <w:numPr>
          <w:ilvl w:val="0"/>
          <w:numId w:val="0"/>
        </w:numPr>
        <w:ind w:firstLine="280" w:firstLineChars="1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w:t>
      </w:r>
      <w:r>
        <w:rPr>
          <w:rFonts w:hint="default" w:ascii="方正仿宋_GBK" w:hAnsi="方正仿宋_GBK" w:eastAsia="方正仿宋_GBK" w:cs="方正仿宋_GBK"/>
          <w:color w:val="auto"/>
          <w:kern w:val="0"/>
          <w:sz w:val="28"/>
          <w:szCs w:val="28"/>
          <w:lang w:val="en-US" w:eastAsia="zh-CN" w:bidi="ar-SA"/>
        </w:rPr>
        <w:t>验收时间：合同履行达到验收条件且中标人发出项目验收建议后 7 个工作日内启动验收。</w:t>
      </w:r>
    </w:p>
    <w:p w14:paraId="4519F4F6">
      <w:pPr>
        <w:pStyle w:val="25"/>
        <w:numPr>
          <w:ilvl w:val="0"/>
          <w:numId w:val="0"/>
        </w:numPr>
        <w:ind w:firstLine="280" w:firstLineChars="1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w:t>
      </w:r>
      <w:r>
        <w:rPr>
          <w:rFonts w:hint="default" w:ascii="方正仿宋_GBK" w:hAnsi="方正仿宋_GBK" w:eastAsia="方正仿宋_GBK" w:cs="方正仿宋_GBK"/>
          <w:color w:val="auto"/>
          <w:kern w:val="0"/>
          <w:sz w:val="28"/>
          <w:szCs w:val="28"/>
          <w:lang w:val="en-US" w:eastAsia="zh-CN" w:bidi="ar-SA"/>
        </w:rPr>
        <w:t>验收方式：</w:t>
      </w:r>
      <w:r>
        <w:rPr>
          <w:rFonts w:hint="eastAsia" w:ascii="方正仿宋_GBK" w:hAnsi="方正仿宋_GBK" w:eastAsia="方正仿宋_GBK" w:cs="方正仿宋_GBK"/>
          <w:color w:val="auto"/>
          <w:kern w:val="0"/>
          <w:sz w:val="28"/>
          <w:szCs w:val="28"/>
          <w:lang w:val="en-US" w:eastAsia="zh-CN" w:bidi="ar-SA"/>
        </w:rPr>
        <w:t>按到货使用顺序，分批次集中</w:t>
      </w:r>
      <w:r>
        <w:rPr>
          <w:rFonts w:hint="default" w:ascii="方正仿宋_GBK" w:hAnsi="方正仿宋_GBK" w:eastAsia="方正仿宋_GBK" w:cs="方正仿宋_GBK"/>
          <w:color w:val="auto"/>
          <w:kern w:val="0"/>
          <w:sz w:val="28"/>
          <w:szCs w:val="28"/>
          <w:lang w:val="en-US" w:eastAsia="zh-CN" w:bidi="ar-SA"/>
        </w:rPr>
        <w:t>验收。</w:t>
      </w:r>
    </w:p>
    <w:p w14:paraId="18C30CCA">
      <w:pPr>
        <w:pStyle w:val="25"/>
        <w:numPr>
          <w:ilvl w:val="0"/>
          <w:numId w:val="0"/>
        </w:numPr>
        <w:ind w:firstLine="280" w:firstLineChars="1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w:t>
      </w:r>
      <w:r>
        <w:rPr>
          <w:rFonts w:hint="default" w:ascii="方正仿宋_GBK" w:hAnsi="方正仿宋_GBK" w:eastAsia="方正仿宋_GBK" w:cs="方正仿宋_GBK"/>
          <w:color w:val="auto"/>
          <w:kern w:val="0"/>
          <w:sz w:val="28"/>
          <w:szCs w:val="28"/>
          <w:lang w:val="en-US" w:eastAsia="zh-CN" w:bidi="ar-SA"/>
        </w:rPr>
        <w:t>验收程序</w:t>
      </w:r>
    </w:p>
    <w:p w14:paraId="62D72774">
      <w:pPr>
        <w:pStyle w:val="25"/>
        <w:numPr>
          <w:ilvl w:val="0"/>
          <w:numId w:val="0"/>
        </w:numPr>
        <w:ind w:firstLine="280" w:firstLineChars="100"/>
        <w:rPr>
          <w:rFonts w:hint="default" w:ascii="方正仿宋_GBK" w:hAnsi="方正仿宋_GBK" w:eastAsia="方正仿宋_GBK" w:cs="方正仿宋_GBK"/>
          <w:color w:val="auto"/>
          <w:kern w:val="0"/>
          <w:sz w:val="28"/>
          <w:szCs w:val="28"/>
          <w:lang w:val="en-US" w:eastAsia="zh-CN" w:bidi="ar-SA"/>
        </w:rPr>
      </w:pPr>
      <w:r>
        <w:rPr>
          <w:rFonts w:hint="default" w:ascii="Calibri" w:hAnsi="Calibri" w:eastAsia="方正仿宋_GBK" w:cs="Calibri"/>
          <w:color w:val="auto"/>
          <w:kern w:val="0"/>
          <w:sz w:val="28"/>
          <w:szCs w:val="28"/>
          <w:lang w:val="en-US" w:eastAsia="zh-CN" w:bidi="ar-SA"/>
        </w:rPr>
        <w:t>①</w:t>
      </w:r>
      <w:r>
        <w:rPr>
          <w:rFonts w:hint="default" w:ascii="方正仿宋_GBK" w:hAnsi="方正仿宋_GBK" w:eastAsia="方正仿宋_GBK" w:cs="方正仿宋_GBK"/>
          <w:color w:val="auto"/>
          <w:kern w:val="0"/>
          <w:sz w:val="28"/>
          <w:szCs w:val="28"/>
          <w:lang w:val="en-US" w:eastAsia="zh-CN" w:bidi="ar-SA"/>
        </w:rPr>
        <w:t>成立验收小组，由项目用户单位代表、专家等至少3人以上单数组成；必要时邀请参加本项目的其他投标人或第三方专业机构参加验收，相关验收意见作为验收的参考资料。</w:t>
      </w:r>
    </w:p>
    <w:p w14:paraId="6CCC2F77">
      <w:pPr>
        <w:pStyle w:val="25"/>
        <w:numPr>
          <w:ilvl w:val="0"/>
          <w:numId w:val="0"/>
        </w:numPr>
        <w:ind w:firstLine="280" w:firstLineChars="100"/>
        <w:rPr>
          <w:rFonts w:hint="default" w:ascii="方正仿宋_GBK" w:hAnsi="方正仿宋_GBK" w:eastAsia="方正仿宋_GBK" w:cs="方正仿宋_GBK"/>
          <w:color w:val="auto"/>
          <w:kern w:val="0"/>
          <w:sz w:val="28"/>
          <w:szCs w:val="28"/>
          <w:lang w:val="en-US" w:eastAsia="zh-CN" w:bidi="ar-SA"/>
        </w:rPr>
      </w:pPr>
      <w:r>
        <w:rPr>
          <w:rFonts w:hint="default" w:ascii="Calibri" w:hAnsi="Calibri" w:eastAsia="方正仿宋_GBK" w:cs="Calibri"/>
          <w:color w:val="auto"/>
          <w:kern w:val="0"/>
          <w:sz w:val="28"/>
          <w:szCs w:val="28"/>
          <w:lang w:val="en-US" w:eastAsia="zh-CN" w:bidi="ar-SA"/>
        </w:rPr>
        <w:t>②</w:t>
      </w:r>
      <w:r>
        <w:rPr>
          <w:rFonts w:hint="default" w:ascii="方正仿宋_GBK" w:hAnsi="方正仿宋_GBK" w:eastAsia="方正仿宋_GBK" w:cs="方正仿宋_GBK"/>
          <w:color w:val="auto"/>
          <w:kern w:val="0"/>
          <w:sz w:val="28"/>
          <w:szCs w:val="28"/>
          <w:lang w:val="en-US" w:eastAsia="zh-CN" w:bidi="ar-SA"/>
        </w:rPr>
        <w:t>中标人、项目用户单位分别汇报合同履约执行情况并提供相关文件资料。</w:t>
      </w:r>
    </w:p>
    <w:p w14:paraId="0097EE71">
      <w:pPr>
        <w:pStyle w:val="25"/>
        <w:numPr>
          <w:ilvl w:val="0"/>
          <w:numId w:val="0"/>
        </w:numPr>
        <w:ind w:firstLine="280" w:firstLineChars="100"/>
        <w:rPr>
          <w:rFonts w:hint="default" w:ascii="方正仿宋_GBK" w:hAnsi="方正仿宋_GBK" w:eastAsia="方正仿宋_GBK" w:cs="方正仿宋_GBK"/>
          <w:color w:val="auto"/>
          <w:kern w:val="0"/>
          <w:sz w:val="28"/>
          <w:szCs w:val="28"/>
          <w:lang w:val="en-US" w:eastAsia="zh-CN" w:bidi="ar-SA"/>
        </w:rPr>
      </w:pPr>
      <w:r>
        <w:rPr>
          <w:rFonts w:hint="default" w:ascii="Calibri" w:hAnsi="Calibri" w:eastAsia="方正仿宋_GBK" w:cs="Calibri"/>
          <w:color w:val="auto"/>
          <w:kern w:val="0"/>
          <w:sz w:val="28"/>
          <w:szCs w:val="28"/>
          <w:lang w:val="en-US" w:eastAsia="zh-CN" w:bidi="ar-SA"/>
        </w:rPr>
        <w:t>③</w:t>
      </w:r>
      <w:r>
        <w:rPr>
          <w:rFonts w:hint="default" w:ascii="方正仿宋_GBK" w:hAnsi="方正仿宋_GBK" w:eastAsia="方正仿宋_GBK" w:cs="方正仿宋_GBK"/>
          <w:color w:val="auto"/>
          <w:kern w:val="0"/>
          <w:sz w:val="28"/>
          <w:szCs w:val="28"/>
          <w:lang w:val="en-US" w:eastAsia="zh-CN" w:bidi="ar-SA"/>
        </w:rPr>
        <w:t>验收小组根据招标（采购）文件、投标（响应）文件、政府采购合同等进行核对、验收，并形成验收意见。</w:t>
      </w:r>
    </w:p>
    <w:p w14:paraId="2EF94D9A">
      <w:pPr>
        <w:pStyle w:val="25"/>
        <w:numPr>
          <w:ilvl w:val="0"/>
          <w:numId w:val="0"/>
        </w:numPr>
        <w:ind w:firstLine="280" w:firstLineChars="1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（6）</w:t>
      </w:r>
      <w:r>
        <w:rPr>
          <w:rFonts w:hint="default" w:ascii="方正仿宋_GBK" w:hAnsi="方正仿宋_GBK" w:eastAsia="方正仿宋_GBK" w:cs="方正仿宋_GBK"/>
          <w:color w:val="auto"/>
          <w:kern w:val="0"/>
          <w:sz w:val="28"/>
          <w:szCs w:val="28"/>
          <w:lang w:val="en-US" w:eastAsia="zh-CN" w:bidi="ar-SA"/>
        </w:rPr>
        <w:t>验收内容：验收内容包括每一项技术和商务要求的履约情况。</w:t>
      </w:r>
    </w:p>
    <w:p w14:paraId="0DF7642E">
      <w:pPr>
        <w:pStyle w:val="25"/>
        <w:numPr>
          <w:ilvl w:val="0"/>
          <w:numId w:val="0"/>
        </w:numPr>
        <w:ind w:firstLine="280" w:firstLineChars="1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（7）</w:t>
      </w:r>
      <w:r>
        <w:rPr>
          <w:rFonts w:hint="default" w:ascii="方正仿宋_GBK" w:hAnsi="方正仿宋_GBK" w:eastAsia="方正仿宋_GBK" w:cs="方正仿宋_GBK"/>
          <w:color w:val="auto"/>
          <w:kern w:val="0"/>
          <w:sz w:val="28"/>
          <w:szCs w:val="28"/>
          <w:lang w:val="en-US" w:eastAsia="zh-CN" w:bidi="ar-SA"/>
        </w:rPr>
        <w:t>验收标准：验收标准应当符合采购合同约定，未进行相应约定的，应当符合国家强制性规定、政策要求、安全标准、行业或企业有关标准等。包括所有客观、量化指标，以及用户使用体验、服务效果满意度等。</w:t>
      </w:r>
    </w:p>
    <w:p w14:paraId="58EFBE70">
      <w:pPr>
        <w:pStyle w:val="25"/>
        <w:numPr>
          <w:ilvl w:val="0"/>
          <w:numId w:val="0"/>
        </w:numPr>
        <w:ind w:firstLine="280" w:firstLineChars="1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（8）</w:t>
      </w:r>
      <w:r>
        <w:rPr>
          <w:rFonts w:hint="default" w:ascii="方正仿宋_GBK" w:hAnsi="方正仿宋_GBK" w:eastAsia="方正仿宋_GBK" w:cs="方正仿宋_GBK"/>
          <w:color w:val="auto"/>
          <w:kern w:val="0"/>
          <w:sz w:val="28"/>
          <w:szCs w:val="28"/>
          <w:lang w:val="en-US" w:eastAsia="zh-CN" w:bidi="ar-SA"/>
        </w:rPr>
        <w:t>特别说明：项目履约验收还须遵循医院审计科、财务科和合同归口管理部门的有关规定</w:t>
      </w:r>
      <w:r>
        <w:rPr>
          <w:rFonts w:hint="default"/>
          <w:lang w:val="en-US" w:eastAsia="zh-CN"/>
        </w:rPr>
        <w:t>。</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本项目最高限价251243元。</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2.</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按实际送货数量据实结算，签订合同时再做详细约定。</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4.踏勘现场</w:t>
      </w:r>
      <w:bookmarkStart w:id="7" w:name="_GoBack"/>
      <w:bookmarkEnd w:id="7"/>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5.违约责任</w:t>
      </w:r>
    </w:p>
    <w:p w14:paraId="3AB205C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7.其他要求</w:t>
      </w:r>
    </w:p>
    <w:p w14:paraId="7CBAE9CC">
      <w:pPr>
        <w:pStyle w:val="5"/>
        <w:spacing w:line="500" w:lineRule="exact"/>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31783DDC">
      <w:pPr>
        <w:pStyle w:val="5"/>
        <w:spacing w:line="500" w:lineRule="exact"/>
        <w:ind w:firstLine="560" w:firstLineChars="200"/>
        <w:rPr>
          <w:rFonts w:hint="eastAsia" w:ascii="方正仿宋_GBK" w:hAnsi="方正仿宋_GBK" w:eastAsia="方正仿宋_GBK" w:cs="方正仿宋_GBK"/>
          <w:color w:val="auto"/>
          <w:kern w:val="0"/>
          <w:sz w:val="28"/>
          <w:szCs w:val="28"/>
          <w:lang w:val="en-US" w:eastAsia="zh-CN"/>
        </w:rPr>
        <w:sectPr>
          <w:pgSz w:w="11906" w:h="16838"/>
          <w:pgMar w:top="1134" w:right="1134" w:bottom="1134" w:left="1134" w:header="851" w:footer="992" w:gutter="0"/>
          <w:cols w:space="720" w:num="1"/>
          <w:docGrid w:type="lines" w:linePitch="312" w:charSpace="0"/>
        </w:sectPr>
      </w:pPr>
    </w:p>
    <w:p w14:paraId="4F53372E">
      <w:pPr>
        <w:rPr>
          <w:rFonts w:hint="default" w:ascii="仿宋_GB2312" w:hAnsi="Arial" w:eastAsia="仿宋_GB2312" w:cstheme="minorBidi"/>
          <w:b/>
          <w:color w:val="auto"/>
          <w:kern w:val="2"/>
          <w:sz w:val="32"/>
          <w:szCs w:val="32"/>
          <w:lang w:val="en-US" w:eastAsia="zh-CN" w:bidi="ar-SA"/>
        </w:rPr>
      </w:pP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32B9EBAF">
      <w:pPr>
        <w:keepNext w:val="0"/>
        <w:keepLines w:val="0"/>
        <w:pageBreakBefore w:val="0"/>
        <w:widowControl w:val="0"/>
        <w:kinsoku/>
        <w:wordWrap/>
        <w:overflowPunct/>
        <w:topLinePunct w:val="0"/>
        <w:autoSpaceDE/>
        <w:autoSpaceDN/>
        <w:bidi w:val="0"/>
        <w:adjustRightInd/>
        <w:snapToGrid/>
        <w:spacing w:line="360" w:lineRule="auto"/>
        <w:ind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2614384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B1E3CEA">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           </w:t>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33515A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投标供应商须为重庆市政府采购框架协议入围供应商。</w:t>
      </w:r>
    </w:p>
    <w:p w14:paraId="43AFF7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0B72492D">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304"/>
      <w:bookmarkStart w:id="1" w:name="_Toc156196472"/>
      <w:bookmarkStart w:id="2" w:name="_Toc237057793"/>
      <w:bookmarkStart w:id="3" w:name="_Toc128229747"/>
      <w:bookmarkStart w:id="4" w:name="_Toc173677399"/>
      <w:bookmarkStart w:id="5" w:name="_Toc128014297"/>
      <w:bookmarkStart w:id="6" w:name="_Toc175017344"/>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69841AC2">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6907E896">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2D1215F6">
            <w:pPr>
              <w:spacing w:line="300" w:lineRule="exact"/>
              <w:rPr>
                <w:rFonts w:ascii="微软雅黑" w:hAnsi="微软雅黑" w:eastAsia="微软雅黑" w:cs="微软雅黑"/>
                <w:sz w:val="24"/>
                <w:szCs w:val="24"/>
              </w:rPr>
            </w:pPr>
          </w:p>
        </w:tc>
        <w:tc>
          <w:tcPr>
            <w:tcW w:w="1559" w:type="dxa"/>
            <w:noWrap w:val="0"/>
            <w:vAlign w:val="top"/>
          </w:tcPr>
          <w:p w14:paraId="166430B3">
            <w:pPr>
              <w:spacing w:line="300" w:lineRule="exact"/>
              <w:rPr>
                <w:rFonts w:ascii="微软雅黑" w:hAnsi="微软雅黑" w:eastAsia="微软雅黑" w:cs="微软雅黑"/>
                <w:sz w:val="24"/>
                <w:szCs w:val="24"/>
              </w:rPr>
            </w:pPr>
          </w:p>
        </w:tc>
        <w:tc>
          <w:tcPr>
            <w:tcW w:w="1701" w:type="dxa"/>
            <w:noWrap w:val="0"/>
            <w:vAlign w:val="top"/>
          </w:tcPr>
          <w:p w14:paraId="6150ACCD">
            <w:pPr>
              <w:spacing w:line="300" w:lineRule="exact"/>
              <w:rPr>
                <w:rFonts w:ascii="微软雅黑" w:hAnsi="微软雅黑" w:eastAsia="微软雅黑" w:cs="微软雅黑"/>
                <w:sz w:val="24"/>
                <w:szCs w:val="24"/>
              </w:rPr>
            </w:pPr>
          </w:p>
        </w:tc>
        <w:tc>
          <w:tcPr>
            <w:tcW w:w="1134" w:type="dxa"/>
            <w:noWrap w:val="0"/>
            <w:vAlign w:val="center"/>
          </w:tcPr>
          <w:p w14:paraId="20C6C8C6">
            <w:pPr>
              <w:spacing w:line="300" w:lineRule="exact"/>
              <w:rPr>
                <w:rFonts w:ascii="微软雅黑" w:hAnsi="微软雅黑" w:eastAsia="微软雅黑" w:cs="微软雅黑"/>
                <w:sz w:val="24"/>
                <w:szCs w:val="24"/>
              </w:rPr>
            </w:pPr>
          </w:p>
        </w:tc>
        <w:tc>
          <w:tcPr>
            <w:tcW w:w="1276" w:type="dxa"/>
            <w:noWrap w:val="0"/>
            <w:vAlign w:val="top"/>
          </w:tcPr>
          <w:p w14:paraId="56E3A9BC">
            <w:pPr>
              <w:spacing w:line="300" w:lineRule="exact"/>
              <w:rPr>
                <w:rFonts w:ascii="微软雅黑" w:hAnsi="微软雅黑" w:eastAsia="微软雅黑" w:cs="微软雅黑"/>
                <w:sz w:val="24"/>
                <w:szCs w:val="24"/>
              </w:rPr>
            </w:pPr>
          </w:p>
        </w:tc>
        <w:tc>
          <w:tcPr>
            <w:tcW w:w="1275"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45AAB809">
            <w:pPr>
              <w:spacing w:line="300" w:lineRule="exact"/>
              <w:rPr>
                <w:rFonts w:ascii="微软雅黑" w:hAnsi="微软雅黑" w:eastAsia="微软雅黑" w:cs="微软雅黑"/>
                <w:sz w:val="24"/>
                <w:szCs w:val="24"/>
              </w:rPr>
            </w:pPr>
          </w:p>
        </w:tc>
        <w:tc>
          <w:tcPr>
            <w:tcW w:w="1559" w:type="dxa"/>
            <w:noWrap w:val="0"/>
            <w:vAlign w:val="top"/>
          </w:tcPr>
          <w:p w14:paraId="56F52054">
            <w:pPr>
              <w:spacing w:line="300" w:lineRule="exact"/>
              <w:rPr>
                <w:rFonts w:ascii="微软雅黑" w:hAnsi="微软雅黑" w:eastAsia="微软雅黑" w:cs="微软雅黑"/>
                <w:sz w:val="24"/>
                <w:szCs w:val="24"/>
              </w:rPr>
            </w:pPr>
          </w:p>
        </w:tc>
        <w:tc>
          <w:tcPr>
            <w:tcW w:w="1701" w:type="dxa"/>
            <w:noWrap w:val="0"/>
            <w:vAlign w:val="top"/>
          </w:tcPr>
          <w:p w14:paraId="67787781">
            <w:pPr>
              <w:spacing w:line="300" w:lineRule="exact"/>
              <w:rPr>
                <w:rFonts w:ascii="微软雅黑" w:hAnsi="微软雅黑" w:eastAsia="微软雅黑" w:cs="微软雅黑"/>
                <w:sz w:val="24"/>
                <w:szCs w:val="24"/>
              </w:rPr>
            </w:pPr>
          </w:p>
        </w:tc>
        <w:tc>
          <w:tcPr>
            <w:tcW w:w="1134" w:type="dxa"/>
            <w:noWrap w:val="0"/>
            <w:vAlign w:val="center"/>
          </w:tcPr>
          <w:p w14:paraId="05427F01">
            <w:pPr>
              <w:spacing w:line="300" w:lineRule="exact"/>
              <w:rPr>
                <w:rFonts w:ascii="微软雅黑" w:hAnsi="微软雅黑" w:eastAsia="微软雅黑" w:cs="微软雅黑"/>
                <w:sz w:val="24"/>
                <w:szCs w:val="24"/>
              </w:rPr>
            </w:pPr>
          </w:p>
        </w:tc>
        <w:tc>
          <w:tcPr>
            <w:tcW w:w="1276" w:type="dxa"/>
            <w:noWrap w:val="0"/>
            <w:vAlign w:val="top"/>
          </w:tcPr>
          <w:p w14:paraId="530598B6">
            <w:pPr>
              <w:spacing w:line="300" w:lineRule="exact"/>
              <w:rPr>
                <w:rFonts w:ascii="微软雅黑" w:hAnsi="微软雅黑" w:eastAsia="微软雅黑" w:cs="微软雅黑"/>
                <w:sz w:val="24"/>
                <w:szCs w:val="24"/>
              </w:rPr>
            </w:pPr>
          </w:p>
        </w:tc>
        <w:tc>
          <w:tcPr>
            <w:tcW w:w="1275"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7C14C65B">
            <w:pPr>
              <w:spacing w:line="300" w:lineRule="exact"/>
              <w:rPr>
                <w:rFonts w:ascii="微软雅黑" w:hAnsi="微软雅黑" w:eastAsia="微软雅黑" w:cs="微软雅黑"/>
                <w:sz w:val="24"/>
                <w:szCs w:val="24"/>
              </w:rPr>
            </w:pPr>
          </w:p>
        </w:tc>
        <w:tc>
          <w:tcPr>
            <w:tcW w:w="1559" w:type="dxa"/>
            <w:noWrap w:val="0"/>
            <w:vAlign w:val="top"/>
          </w:tcPr>
          <w:p w14:paraId="416342A8">
            <w:pPr>
              <w:spacing w:line="300" w:lineRule="exact"/>
              <w:rPr>
                <w:rFonts w:ascii="微软雅黑" w:hAnsi="微软雅黑" w:eastAsia="微软雅黑" w:cs="微软雅黑"/>
                <w:sz w:val="24"/>
                <w:szCs w:val="24"/>
              </w:rPr>
            </w:pPr>
          </w:p>
        </w:tc>
        <w:tc>
          <w:tcPr>
            <w:tcW w:w="1701" w:type="dxa"/>
            <w:noWrap w:val="0"/>
            <w:vAlign w:val="top"/>
          </w:tcPr>
          <w:p w14:paraId="59AFFB48">
            <w:pPr>
              <w:spacing w:line="300" w:lineRule="exact"/>
              <w:rPr>
                <w:rFonts w:ascii="微软雅黑" w:hAnsi="微软雅黑" w:eastAsia="微软雅黑" w:cs="微软雅黑"/>
                <w:sz w:val="24"/>
                <w:szCs w:val="24"/>
              </w:rPr>
            </w:pPr>
          </w:p>
        </w:tc>
        <w:tc>
          <w:tcPr>
            <w:tcW w:w="1134" w:type="dxa"/>
            <w:noWrap w:val="0"/>
            <w:vAlign w:val="center"/>
          </w:tcPr>
          <w:p w14:paraId="4D104732">
            <w:pPr>
              <w:spacing w:line="300" w:lineRule="exact"/>
              <w:rPr>
                <w:rFonts w:ascii="微软雅黑" w:hAnsi="微软雅黑" w:eastAsia="微软雅黑" w:cs="微软雅黑"/>
                <w:sz w:val="24"/>
                <w:szCs w:val="24"/>
              </w:rPr>
            </w:pPr>
          </w:p>
        </w:tc>
        <w:tc>
          <w:tcPr>
            <w:tcW w:w="1276" w:type="dxa"/>
            <w:noWrap w:val="0"/>
            <w:vAlign w:val="top"/>
          </w:tcPr>
          <w:p w14:paraId="1CACAD5F">
            <w:pPr>
              <w:spacing w:line="300" w:lineRule="exact"/>
              <w:rPr>
                <w:rFonts w:ascii="微软雅黑" w:hAnsi="微软雅黑" w:eastAsia="微软雅黑" w:cs="微软雅黑"/>
                <w:sz w:val="24"/>
                <w:szCs w:val="24"/>
              </w:rPr>
            </w:pPr>
          </w:p>
        </w:tc>
        <w:tc>
          <w:tcPr>
            <w:tcW w:w="1275"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52717413">
            <w:pPr>
              <w:spacing w:line="300" w:lineRule="exact"/>
              <w:rPr>
                <w:rFonts w:ascii="微软雅黑" w:hAnsi="微软雅黑" w:eastAsia="微软雅黑" w:cs="微软雅黑"/>
                <w:sz w:val="24"/>
                <w:szCs w:val="24"/>
              </w:rPr>
            </w:pPr>
          </w:p>
        </w:tc>
        <w:tc>
          <w:tcPr>
            <w:tcW w:w="1559" w:type="dxa"/>
            <w:noWrap w:val="0"/>
            <w:vAlign w:val="top"/>
          </w:tcPr>
          <w:p w14:paraId="568B67D8">
            <w:pPr>
              <w:spacing w:line="300" w:lineRule="exact"/>
              <w:rPr>
                <w:rFonts w:ascii="微软雅黑" w:hAnsi="微软雅黑" w:eastAsia="微软雅黑" w:cs="微软雅黑"/>
                <w:sz w:val="24"/>
                <w:szCs w:val="24"/>
              </w:rPr>
            </w:pPr>
          </w:p>
        </w:tc>
        <w:tc>
          <w:tcPr>
            <w:tcW w:w="1701" w:type="dxa"/>
            <w:noWrap w:val="0"/>
            <w:vAlign w:val="top"/>
          </w:tcPr>
          <w:p w14:paraId="7307A652">
            <w:pPr>
              <w:spacing w:line="300" w:lineRule="exact"/>
              <w:rPr>
                <w:rFonts w:ascii="微软雅黑" w:hAnsi="微软雅黑" w:eastAsia="微软雅黑" w:cs="微软雅黑"/>
                <w:sz w:val="24"/>
                <w:szCs w:val="24"/>
              </w:rPr>
            </w:pPr>
          </w:p>
        </w:tc>
        <w:tc>
          <w:tcPr>
            <w:tcW w:w="1134" w:type="dxa"/>
            <w:noWrap w:val="0"/>
            <w:vAlign w:val="center"/>
          </w:tcPr>
          <w:p w14:paraId="647D9B4C">
            <w:pPr>
              <w:spacing w:line="300" w:lineRule="exact"/>
              <w:rPr>
                <w:rFonts w:ascii="微软雅黑" w:hAnsi="微软雅黑" w:eastAsia="微软雅黑" w:cs="微软雅黑"/>
                <w:sz w:val="24"/>
                <w:szCs w:val="24"/>
              </w:rPr>
            </w:pPr>
          </w:p>
        </w:tc>
        <w:tc>
          <w:tcPr>
            <w:tcW w:w="1276" w:type="dxa"/>
            <w:noWrap w:val="0"/>
            <w:vAlign w:val="top"/>
          </w:tcPr>
          <w:p w14:paraId="07A3396B">
            <w:pPr>
              <w:spacing w:line="300" w:lineRule="exact"/>
              <w:rPr>
                <w:rFonts w:ascii="微软雅黑" w:hAnsi="微软雅黑" w:eastAsia="微软雅黑" w:cs="微软雅黑"/>
                <w:sz w:val="24"/>
                <w:szCs w:val="24"/>
              </w:rPr>
            </w:pPr>
          </w:p>
        </w:tc>
        <w:tc>
          <w:tcPr>
            <w:tcW w:w="1275"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552E7715">
            <w:pPr>
              <w:spacing w:line="300" w:lineRule="exact"/>
              <w:rPr>
                <w:rFonts w:ascii="微软雅黑" w:hAnsi="微软雅黑" w:eastAsia="微软雅黑" w:cs="微软雅黑"/>
                <w:sz w:val="24"/>
                <w:szCs w:val="24"/>
              </w:rPr>
            </w:pPr>
          </w:p>
        </w:tc>
        <w:tc>
          <w:tcPr>
            <w:tcW w:w="1559" w:type="dxa"/>
            <w:noWrap w:val="0"/>
            <w:vAlign w:val="top"/>
          </w:tcPr>
          <w:p w14:paraId="7B770688">
            <w:pPr>
              <w:spacing w:line="300" w:lineRule="exact"/>
              <w:rPr>
                <w:rFonts w:ascii="微软雅黑" w:hAnsi="微软雅黑" w:eastAsia="微软雅黑" w:cs="微软雅黑"/>
                <w:sz w:val="24"/>
                <w:szCs w:val="24"/>
              </w:rPr>
            </w:pPr>
          </w:p>
        </w:tc>
        <w:tc>
          <w:tcPr>
            <w:tcW w:w="1701" w:type="dxa"/>
            <w:noWrap w:val="0"/>
            <w:vAlign w:val="top"/>
          </w:tcPr>
          <w:p w14:paraId="32981CE8">
            <w:pPr>
              <w:spacing w:line="300" w:lineRule="exact"/>
              <w:rPr>
                <w:rFonts w:ascii="微软雅黑" w:hAnsi="微软雅黑" w:eastAsia="微软雅黑" w:cs="微软雅黑"/>
                <w:sz w:val="24"/>
                <w:szCs w:val="24"/>
              </w:rPr>
            </w:pPr>
          </w:p>
        </w:tc>
        <w:tc>
          <w:tcPr>
            <w:tcW w:w="1134" w:type="dxa"/>
            <w:noWrap w:val="0"/>
            <w:vAlign w:val="center"/>
          </w:tcPr>
          <w:p w14:paraId="5994A900">
            <w:pPr>
              <w:spacing w:line="300" w:lineRule="exact"/>
              <w:rPr>
                <w:rFonts w:ascii="微软雅黑" w:hAnsi="微软雅黑" w:eastAsia="微软雅黑" w:cs="微软雅黑"/>
                <w:sz w:val="24"/>
                <w:szCs w:val="24"/>
              </w:rPr>
            </w:pPr>
          </w:p>
        </w:tc>
        <w:tc>
          <w:tcPr>
            <w:tcW w:w="1276" w:type="dxa"/>
            <w:noWrap w:val="0"/>
            <w:vAlign w:val="top"/>
          </w:tcPr>
          <w:p w14:paraId="1E7285FD">
            <w:pPr>
              <w:spacing w:line="300" w:lineRule="exact"/>
              <w:rPr>
                <w:rFonts w:ascii="微软雅黑" w:hAnsi="微软雅黑" w:eastAsia="微软雅黑" w:cs="微软雅黑"/>
                <w:sz w:val="24"/>
                <w:szCs w:val="24"/>
              </w:rPr>
            </w:pPr>
          </w:p>
        </w:tc>
        <w:tc>
          <w:tcPr>
            <w:tcW w:w="1275"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7F736F85">
            <w:pPr>
              <w:spacing w:line="300" w:lineRule="exact"/>
              <w:rPr>
                <w:rFonts w:ascii="微软雅黑" w:hAnsi="微软雅黑" w:eastAsia="微软雅黑" w:cs="微软雅黑"/>
                <w:sz w:val="24"/>
                <w:szCs w:val="24"/>
              </w:rPr>
            </w:pPr>
          </w:p>
        </w:tc>
        <w:tc>
          <w:tcPr>
            <w:tcW w:w="1559" w:type="dxa"/>
            <w:noWrap w:val="0"/>
            <w:vAlign w:val="top"/>
          </w:tcPr>
          <w:p w14:paraId="494FD06C">
            <w:pPr>
              <w:spacing w:line="300" w:lineRule="exact"/>
              <w:rPr>
                <w:rFonts w:ascii="微软雅黑" w:hAnsi="微软雅黑" w:eastAsia="微软雅黑" w:cs="微软雅黑"/>
                <w:sz w:val="24"/>
                <w:szCs w:val="24"/>
              </w:rPr>
            </w:pPr>
          </w:p>
        </w:tc>
        <w:tc>
          <w:tcPr>
            <w:tcW w:w="1701" w:type="dxa"/>
            <w:noWrap w:val="0"/>
            <w:vAlign w:val="top"/>
          </w:tcPr>
          <w:p w14:paraId="3897A061">
            <w:pPr>
              <w:spacing w:line="300" w:lineRule="exact"/>
              <w:rPr>
                <w:rFonts w:ascii="微软雅黑" w:hAnsi="微软雅黑" w:eastAsia="微软雅黑" w:cs="微软雅黑"/>
                <w:sz w:val="24"/>
                <w:szCs w:val="24"/>
              </w:rPr>
            </w:pPr>
          </w:p>
        </w:tc>
        <w:tc>
          <w:tcPr>
            <w:tcW w:w="1134" w:type="dxa"/>
            <w:noWrap w:val="0"/>
            <w:vAlign w:val="center"/>
          </w:tcPr>
          <w:p w14:paraId="3B31C122">
            <w:pPr>
              <w:spacing w:line="300" w:lineRule="exact"/>
              <w:rPr>
                <w:rFonts w:ascii="微软雅黑" w:hAnsi="微软雅黑" w:eastAsia="微软雅黑" w:cs="微软雅黑"/>
                <w:sz w:val="24"/>
                <w:szCs w:val="24"/>
              </w:rPr>
            </w:pPr>
          </w:p>
        </w:tc>
        <w:tc>
          <w:tcPr>
            <w:tcW w:w="1276" w:type="dxa"/>
            <w:noWrap w:val="0"/>
            <w:vAlign w:val="top"/>
          </w:tcPr>
          <w:p w14:paraId="7FA5EABD">
            <w:pPr>
              <w:spacing w:line="300" w:lineRule="exact"/>
              <w:rPr>
                <w:rFonts w:ascii="微软雅黑" w:hAnsi="微软雅黑" w:eastAsia="微软雅黑" w:cs="微软雅黑"/>
                <w:sz w:val="24"/>
                <w:szCs w:val="24"/>
              </w:rPr>
            </w:pPr>
          </w:p>
        </w:tc>
        <w:tc>
          <w:tcPr>
            <w:tcW w:w="1275"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14:paraId="5109F954">
            <w:pPr>
              <w:spacing w:line="300" w:lineRule="exact"/>
              <w:rPr>
                <w:rFonts w:ascii="微软雅黑" w:hAnsi="微软雅黑" w:eastAsia="微软雅黑" w:cs="微软雅黑"/>
                <w:sz w:val="24"/>
                <w:szCs w:val="24"/>
              </w:rPr>
            </w:pPr>
          </w:p>
        </w:tc>
        <w:tc>
          <w:tcPr>
            <w:tcW w:w="1701" w:type="dxa"/>
            <w:noWrap w:val="0"/>
            <w:vAlign w:val="top"/>
          </w:tcPr>
          <w:p w14:paraId="64F280E9">
            <w:pPr>
              <w:spacing w:line="300" w:lineRule="exact"/>
              <w:rPr>
                <w:rFonts w:ascii="微软雅黑" w:hAnsi="微软雅黑" w:eastAsia="微软雅黑" w:cs="微软雅黑"/>
                <w:sz w:val="24"/>
                <w:szCs w:val="24"/>
              </w:rPr>
            </w:pPr>
          </w:p>
        </w:tc>
        <w:tc>
          <w:tcPr>
            <w:tcW w:w="1134" w:type="dxa"/>
            <w:noWrap w:val="0"/>
            <w:vAlign w:val="center"/>
          </w:tcPr>
          <w:p w14:paraId="181E86F9">
            <w:pPr>
              <w:spacing w:line="300" w:lineRule="exact"/>
              <w:rPr>
                <w:rFonts w:ascii="微软雅黑" w:hAnsi="微软雅黑" w:eastAsia="微软雅黑" w:cs="微软雅黑"/>
                <w:sz w:val="24"/>
                <w:szCs w:val="24"/>
              </w:rPr>
            </w:pPr>
          </w:p>
        </w:tc>
        <w:tc>
          <w:tcPr>
            <w:tcW w:w="1276" w:type="dxa"/>
            <w:noWrap w:val="0"/>
            <w:vAlign w:val="top"/>
          </w:tcPr>
          <w:p w14:paraId="5B906BAD">
            <w:pPr>
              <w:spacing w:line="300" w:lineRule="exact"/>
              <w:rPr>
                <w:rFonts w:ascii="微软雅黑" w:hAnsi="微软雅黑" w:eastAsia="微软雅黑" w:cs="微软雅黑"/>
                <w:sz w:val="24"/>
                <w:szCs w:val="24"/>
              </w:rPr>
            </w:pPr>
          </w:p>
        </w:tc>
        <w:tc>
          <w:tcPr>
            <w:tcW w:w="1275"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7237BC7A">
            <w:pPr>
              <w:spacing w:line="300" w:lineRule="exact"/>
              <w:rPr>
                <w:rFonts w:ascii="微软雅黑" w:hAnsi="微软雅黑" w:eastAsia="微软雅黑" w:cs="微软雅黑"/>
                <w:sz w:val="24"/>
                <w:szCs w:val="24"/>
              </w:rPr>
            </w:pPr>
          </w:p>
        </w:tc>
        <w:tc>
          <w:tcPr>
            <w:tcW w:w="1701" w:type="dxa"/>
            <w:noWrap w:val="0"/>
            <w:vAlign w:val="top"/>
          </w:tcPr>
          <w:p w14:paraId="221358B5">
            <w:pPr>
              <w:spacing w:line="300" w:lineRule="exact"/>
              <w:rPr>
                <w:rFonts w:ascii="微软雅黑" w:hAnsi="微软雅黑" w:eastAsia="微软雅黑" w:cs="微软雅黑"/>
                <w:sz w:val="24"/>
                <w:szCs w:val="24"/>
              </w:rPr>
            </w:pPr>
          </w:p>
        </w:tc>
        <w:tc>
          <w:tcPr>
            <w:tcW w:w="1134"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39E10FC">
            <w:pPr>
              <w:spacing w:line="300" w:lineRule="exact"/>
              <w:rPr>
                <w:rFonts w:ascii="微软雅黑" w:hAnsi="微软雅黑" w:eastAsia="微软雅黑" w:cs="微软雅黑"/>
                <w:sz w:val="24"/>
                <w:szCs w:val="24"/>
              </w:rPr>
            </w:pPr>
          </w:p>
        </w:tc>
        <w:tc>
          <w:tcPr>
            <w:tcW w:w="1275"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7BE8CC6A">
            <w:pPr>
              <w:spacing w:line="300" w:lineRule="exact"/>
              <w:rPr>
                <w:rFonts w:ascii="微软雅黑" w:hAnsi="微软雅黑" w:eastAsia="微软雅黑" w:cs="微软雅黑"/>
                <w:sz w:val="24"/>
                <w:szCs w:val="24"/>
              </w:rPr>
            </w:pPr>
          </w:p>
        </w:tc>
        <w:tc>
          <w:tcPr>
            <w:tcW w:w="1701" w:type="dxa"/>
            <w:noWrap w:val="0"/>
            <w:vAlign w:val="top"/>
          </w:tcPr>
          <w:p w14:paraId="6D65E656">
            <w:pPr>
              <w:spacing w:line="300" w:lineRule="exact"/>
              <w:rPr>
                <w:rFonts w:ascii="微软雅黑" w:hAnsi="微软雅黑" w:eastAsia="微软雅黑" w:cs="微软雅黑"/>
                <w:sz w:val="24"/>
                <w:szCs w:val="24"/>
              </w:rPr>
            </w:pPr>
          </w:p>
        </w:tc>
        <w:tc>
          <w:tcPr>
            <w:tcW w:w="1134"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B166684">
            <w:pPr>
              <w:spacing w:line="300" w:lineRule="exact"/>
              <w:rPr>
                <w:rFonts w:ascii="微软雅黑" w:hAnsi="微软雅黑" w:eastAsia="微软雅黑" w:cs="微软雅黑"/>
                <w:sz w:val="24"/>
                <w:szCs w:val="24"/>
              </w:rPr>
            </w:pPr>
          </w:p>
        </w:tc>
        <w:tc>
          <w:tcPr>
            <w:tcW w:w="1275"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1FE9AA0D">
            <w:pPr>
              <w:spacing w:line="300" w:lineRule="exact"/>
              <w:rPr>
                <w:rFonts w:ascii="微软雅黑" w:hAnsi="微软雅黑" w:eastAsia="微软雅黑" w:cs="微软雅黑"/>
                <w:sz w:val="24"/>
                <w:szCs w:val="24"/>
              </w:rPr>
            </w:pPr>
          </w:p>
        </w:tc>
        <w:tc>
          <w:tcPr>
            <w:tcW w:w="1701" w:type="dxa"/>
            <w:noWrap w:val="0"/>
            <w:vAlign w:val="top"/>
          </w:tcPr>
          <w:p w14:paraId="61A6F677">
            <w:pPr>
              <w:spacing w:line="300" w:lineRule="exact"/>
              <w:rPr>
                <w:rFonts w:ascii="微软雅黑" w:hAnsi="微软雅黑" w:eastAsia="微软雅黑" w:cs="微软雅黑"/>
                <w:sz w:val="24"/>
                <w:szCs w:val="24"/>
              </w:rPr>
            </w:pPr>
          </w:p>
        </w:tc>
        <w:tc>
          <w:tcPr>
            <w:tcW w:w="1134"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28C81E9">
            <w:pPr>
              <w:spacing w:line="300" w:lineRule="exact"/>
              <w:rPr>
                <w:rFonts w:ascii="微软雅黑" w:hAnsi="微软雅黑" w:eastAsia="微软雅黑" w:cs="微软雅黑"/>
                <w:sz w:val="24"/>
                <w:szCs w:val="24"/>
              </w:rPr>
            </w:pPr>
          </w:p>
        </w:tc>
        <w:tc>
          <w:tcPr>
            <w:tcW w:w="1275" w:type="dxa"/>
            <w:noWrap w:val="0"/>
            <w:vAlign w:val="top"/>
          </w:tcPr>
          <w:p w14:paraId="58BCCA2D">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FCDFFE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3D728186">
            <w:pPr>
              <w:spacing w:line="300" w:lineRule="exact"/>
              <w:rPr>
                <w:rFonts w:ascii="微软雅黑" w:hAnsi="微软雅黑" w:eastAsia="微软雅黑" w:cs="微软雅黑"/>
                <w:sz w:val="24"/>
                <w:szCs w:val="24"/>
              </w:rPr>
            </w:pPr>
          </w:p>
        </w:tc>
        <w:tc>
          <w:tcPr>
            <w:tcW w:w="1701" w:type="dxa"/>
            <w:noWrap w:val="0"/>
            <w:vAlign w:val="top"/>
          </w:tcPr>
          <w:p w14:paraId="6F7626B3">
            <w:pPr>
              <w:spacing w:line="300" w:lineRule="exact"/>
              <w:rPr>
                <w:rFonts w:ascii="微软雅黑" w:hAnsi="微软雅黑" w:eastAsia="微软雅黑" w:cs="微软雅黑"/>
                <w:sz w:val="24"/>
                <w:szCs w:val="24"/>
              </w:rPr>
            </w:pPr>
          </w:p>
        </w:tc>
        <w:tc>
          <w:tcPr>
            <w:tcW w:w="1134" w:type="dxa"/>
            <w:noWrap w:val="0"/>
            <w:vAlign w:val="center"/>
          </w:tcPr>
          <w:p w14:paraId="3BC220EC">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56D60D44">
            <w:pPr>
              <w:spacing w:line="300" w:lineRule="exact"/>
              <w:rPr>
                <w:rFonts w:ascii="微软雅黑" w:hAnsi="微软雅黑" w:eastAsia="微软雅黑" w:cs="微软雅黑"/>
                <w:sz w:val="24"/>
                <w:szCs w:val="24"/>
              </w:rPr>
            </w:pPr>
          </w:p>
        </w:tc>
        <w:tc>
          <w:tcPr>
            <w:tcW w:w="1275" w:type="dxa"/>
            <w:noWrap w:val="0"/>
            <w:vAlign w:val="top"/>
          </w:tcPr>
          <w:p w14:paraId="105CFE0A">
            <w:pPr>
              <w:spacing w:line="300" w:lineRule="exact"/>
              <w:rPr>
                <w:rFonts w:ascii="微软雅黑" w:hAnsi="微软雅黑" w:eastAsia="微软雅黑" w:cs="微软雅黑"/>
                <w:sz w:val="24"/>
                <w:szCs w:val="24"/>
              </w:rPr>
            </w:pPr>
          </w:p>
        </w:tc>
      </w:tr>
      <w:tr w14:paraId="1C87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1BC8DA7">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235CB57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0EE6D9C9">
            <w:pPr>
              <w:spacing w:line="300" w:lineRule="exact"/>
              <w:rPr>
                <w:rFonts w:ascii="微软雅黑" w:hAnsi="微软雅黑" w:eastAsia="微软雅黑" w:cs="微软雅黑"/>
                <w:sz w:val="24"/>
                <w:szCs w:val="24"/>
              </w:rPr>
            </w:pPr>
          </w:p>
        </w:tc>
      </w:tr>
    </w:tbl>
    <w:p w14:paraId="000CD7FE">
      <w:pPr>
        <w:pStyle w:val="11"/>
        <w:ind w:firstLine="0"/>
        <w:rPr>
          <w:rFonts w:hint="eastAsia"/>
        </w:rPr>
      </w:pPr>
    </w:p>
    <w:p w14:paraId="7D97D4BF">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4"/>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2D59E1B3">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54498A1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27916D39">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768A5AA5">
      <w:pPr>
        <w:pStyle w:val="5"/>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2F89D56C">
      <w:pPr>
        <w:pStyle w:val="5"/>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十、投标产品相关资料（合格证、产品参数性能彩页、检验检测报告等）</w:t>
      </w:r>
    </w:p>
    <w:p w14:paraId="11D5AD35">
      <w:pPr>
        <w:rPr>
          <w:rFonts w:hint="eastAsia" w:ascii="仿宋_GB2312" w:eastAsia="仿宋_GB2312"/>
          <w:b/>
          <w:snapToGrid w:val="0"/>
          <w:color w:val="auto"/>
          <w:kern w:val="0"/>
          <w:sz w:val="28"/>
          <w:szCs w:val="28"/>
          <w:lang w:val="en-US" w:eastAsia="zh-CN"/>
        </w:rPr>
      </w:pPr>
    </w:p>
    <w:p w14:paraId="28E1C0C4">
      <w:pPr>
        <w:rPr>
          <w:rFonts w:hint="eastAsia" w:ascii="仿宋_GB2312" w:eastAsia="仿宋_GB2312" w:cs="宋体"/>
          <w:color w:val="auto"/>
          <w:sz w:val="32"/>
          <w:szCs w:val="32"/>
          <w:lang w:val="en-US" w:eastAsia="zh-CN"/>
        </w:rPr>
      </w:pPr>
    </w:p>
    <w:p w14:paraId="7FC747CC">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554E605E">
      <w:pPr>
        <w:pStyle w:val="5"/>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5"/>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49EE06E7">
      <w:pPr>
        <w:rPr>
          <w:rFonts w:hint="eastAsia" w:ascii="仿宋_GB2312" w:hAnsi="宋体" w:eastAsia="仿宋_GB2312"/>
          <w:sz w:val="24"/>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2540</wp:posOffset>
            </wp:positionH>
            <wp:positionV relativeFrom="paragraph">
              <wp:posOffset>3802380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inline distT="0" distB="0" distL="114300" distR="114300">
            <wp:extent cx="2736215" cy="3569970"/>
            <wp:effectExtent l="0" t="0" r="10795" b="381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B3AE39EE"/>
    <w:multiLevelType w:val="singleLevel"/>
    <w:tmpl w:val="B3AE39EE"/>
    <w:lvl w:ilvl="0" w:tentative="0">
      <w:start w:val="1"/>
      <w:numFmt w:val="decimal"/>
      <w:pStyle w:val="27"/>
      <w:suff w:val="nothing"/>
      <w:lvlText w:val="%1．"/>
      <w:lvlJc w:val="left"/>
      <w:pPr>
        <w:ind w:left="-24" w:firstLine="1134"/>
      </w:pPr>
      <w:rPr>
        <w:rFonts w:hint="default" w:ascii="Times New Roman" w:hAnsi="Times New Roman" w:eastAsia="方正仿宋_GBK"/>
        <w:sz w:val="32"/>
        <w:szCs w:val="32"/>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27152E6"/>
    <w:rsid w:val="03F96AEC"/>
    <w:rsid w:val="05212DAC"/>
    <w:rsid w:val="056E5276"/>
    <w:rsid w:val="06FB539B"/>
    <w:rsid w:val="07F82B6D"/>
    <w:rsid w:val="09773498"/>
    <w:rsid w:val="0A9058B5"/>
    <w:rsid w:val="0C872834"/>
    <w:rsid w:val="0C974041"/>
    <w:rsid w:val="0CE64C8D"/>
    <w:rsid w:val="0DC82D83"/>
    <w:rsid w:val="0FD01451"/>
    <w:rsid w:val="122D0B62"/>
    <w:rsid w:val="12586ED9"/>
    <w:rsid w:val="133D5E0A"/>
    <w:rsid w:val="17812CB3"/>
    <w:rsid w:val="1922346A"/>
    <w:rsid w:val="19E420C7"/>
    <w:rsid w:val="1A4B64EA"/>
    <w:rsid w:val="1AAE2C67"/>
    <w:rsid w:val="1AF86BE0"/>
    <w:rsid w:val="1B3306B6"/>
    <w:rsid w:val="1BDE0896"/>
    <w:rsid w:val="1C30559C"/>
    <w:rsid w:val="1CF00EFC"/>
    <w:rsid w:val="1E2702D2"/>
    <w:rsid w:val="1F9D6C76"/>
    <w:rsid w:val="20813775"/>
    <w:rsid w:val="20D0616C"/>
    <w:rsid w:val="21426D4A"/>
    <w:rsid w:val="22BC351E"/>
    <w:rsid w:val="23595B43"/>
    <w:rsid w:val="236757CC"/>
    <w:rsid w:val="27C26895"/>
    <w:rsid w:val="293430F8"/>
    <w:rsid w:val="2C3529EE"/>
    <w:rsid w:val="2FC44243"/>
    <w:rsid w:val="308B51BC"/>
    <w:rsid w:val="31092EA8"/>
    <w:rsid w:val="31101680"/>
    <w:rsid w:val="31181F49"/>
    <w:rsid w:val="317A3A13"/>
    <w:rsid w:val="33D457D2"/>
    <w:rsid w:val="33FB61AD"/>
    <w:rsid w:val="342C6BC9"/>
    <w:rsid w:val="376E6279"/>
    <w:rsid w:val="38A14340"/>
    <w:rsid w:val="3B176CB0"/>
    <w:rsid w:val="3B960975"/>
    <w:rsid w:val="3D271A63"/>
    <w:rsid w:val="3D774A2E"/>
    <w:rsid w:val="3D8263F7"/>
    <w:rsid w:val="3D923789"/>
    <w:rsid w:val="3F1B1432"/>
    <w:rsid w:val="41291BCA"/>
    <w:rsid w:val="416A03A1"/>
    <w:rsid w:val="43AD35EA"/>
    <w:rsid w:val="44182362"/>
    <w:rsid w:val="44C5770F"/>
    <w:rsid w:val="44EF71C4"/>
    <w:rsid w:val="46C37C31"/>
    <w:rsid w:val="475D7492"/>
    <w:rsid w:val="482D6FF9"/>
    <w:rsid w:val="496140CE"/>
    <w:rsid w:val="4A54660D"/>
    <w:rsid w:val="4AE139DB"/>
    <w:rsid w:val="4BDB0A24"/>
    <w:rsid w:val="4C31315D"/>
    <w:rsid w:val="4CF578A9"/>
    <w:rsid w:val="4D056715"/>
    <w:rsid w:val="4E4230CD"/>
    <w:rsid w:val="4F391F54"/>
    <w:rsid w:val="4F461854"/>
    <w:rsid w:val="4F55367B"/>
    <w:rsid w:val="4F6D75ED"/>
    <w:rsid w:val="4FF80EFA"/>
    <w:rsid w:val="50AA1DA8"/>
    <w:rsid w:val="51352B6B"/>
    <w:rsid w:val="52467D88"/>
    <w:rsid w:val="53A17F68"/>
    <w:rsid w:val="53DB6C22"/>
    <w:rsid w:val="54EA606D"/>
    <w:rsid w:val="5727153F"/>
    <w:rsid w:val="589F44FC"/>
    <w:rsid w:val="5A23530B"/>
    <w:rsid w:val="5E932E93"/>
    <w:rsid w:val="5FA4498B"/>
    <w:rsid w:val="60C7505C"/>
    <w:rsid w:val="61130716"/>
    <w:rsid w:val="61143219"/>
    <w:rsid w:val="61707CCC"/>
    <w:rsid w:val="61CB0404"/>
    <w:rsid w:val="62282CBB"/>
    <w:rsid w:val="626B6216"/>
    <w:rsid w:val="62B67B8B"/>
    <w:rsid w:val="6345469F"/>
    <w:rsid w:val="64AD4E34"/>
    <w:rsid w:val="668F5CC4"/>
    <w:rsid w:val="66A1740A"/>
    <w:rsid w:val="67CF5844"/>
    <w:rsid w:val="69D01878"/>
    <w:rsid w:val="6A1F4430"/>
    <w:rsid w:val="6D38732A"/>
    <w:rsid w:val="6DD05A39"/>
    <w:rsid w:val="6EC6360F"/>
    <w:rsid w:val="713118C3"/>
    <w:rsid w:val="71C02C3F"/>
    <w:rsid w:val="72BB5C94"/>
    <w:rsid w:val="732B3BA9"/>
    <w:rsid w:val="738E72B4"/>
    <w:rsid w:val="753C41E7"/>
    <w:rsid w:val="75CC5481"/>
    <w:rsid w:val="770E4D00"/>
    <w:rsid w:val="78894B3A"/>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paragraph" w:customStyle="1" w:styleId="27">
    <w:name w:val="三级标题"/>
    <w:basedOn w:val="1"/>
    <w:link w:val="28"/>
    <w:qFormat/>
    <w:uiPriority w:val="0"/>
    <w:pPr>
      <w:numPr>
        <w:ilvl w:val="0"/>
        <w:numId w:val="3"/>
      </w:numPr>
      <w:spacing w:line="640" w:lineRule="exact"/>
      <w:ind w:firstLine="640" w:firstLineChars="200"/>
      <w:jc w:val="left"/>
      <w:outlineLvl w:val="2"/>
    </w:pPr>
    <w:rPr>
      <w:rFonts w:hint="eastAsia" w:cs="Times New Roman"/>
      <w:b/>
    </w:rPr>
  </w:style>
  <w:style w:type="character" w:customStyle="1" w:styleId="28">
    <w:name w:val="三级标题 Char"/>
    <w:link w:val="27"/>
    <w:qFormat/>
    <w:uiPriority w:val="0"/>
    <w:rPr>
      <w:rFonts w:hint="eastAsia"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6211</Words>
  <Characters>6545</Characters>
  <Lines>0</Lines>
  <Paragraphs>0</Paragraphs>
  <TotalTime>8</TotalTime>
  <ScaleCrop>false</ScaleCrop>
  <LinksUpToDate>false</LinksUpToDate>
  <CharactersWithSpaces>7328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2024-10-25T08:53:13Z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4E6D860826E94096A435A313CAD0E06D</vt:lpwstr>
  </property>
</Properties>
</file>