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项目名称：扫码支付功能直饮水机</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扫码支付功能直饮水机</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22AC50E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规格：350mm*350mm*1300mm≤长*宽*高≤400mm*400mm*1400mm；额定电压/频率：220V-/50HZ；额定功率：≤1200W；净水流量：100G；水箱容积：有效容积≥7L；热罐容积：≥5L；额定加热能力：≥90℃，≥12L/h；过滤方式：4级反渗透；杀菌方式：LED UV杀菌；压力桶：≥ 3.2G；饮水机符合：GB 4706.1-2005 《家用和类似用途电器的安全 第 1 部分：通用要求》、GB 4706.19-2008《家用和类似用途电器的安全 液体加热器的特殊要求》并提供相关证明；每台饮水机满足30-50人饮水需求，需配置扫码支付系统，提现费率不超过千分之三。</w:t>
      </w:r>
    </w:p>
    <w:p w14:paraId="60899BC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后期滤芯更换费用：使用直饮机原装滤芯，不超过1250元/年/台，此费用为滤芯更换包干费用，包括但不限于原装滤芯费用、运输费、拆卸旧滤芯费用、安装新滤芯费用、人工费、税费等。</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7台扫码支付功能直饮水机</w:t>
      </w:r>
      <w:r>
        <w:rPr>
          <w:rFonts w:hint="eastAsia" w:ascii="方正仿宋_GBK" w:hAnsi="方正仿宋_GBK" w:eastAsia="方正仿宋_GBK" w:cs="方正仿宋_GBK"/>
          <w:color w:val="auto"/>
          <w:kern w:val="0"/>
          <w:sz w:val="32"/>
          <w:szCs w:val="32"/>
          <w:lang w:val="en-US" w:eastAsia="zh-CN"/>
        </w:rPr>
        <w:t>最高总价19950元。报价要求：本次报价为人民币包干价，包含：货款、安装调试费、质保期维护费（含易损件、零配件）、资料装订及邮寄费、人工住宿差旅费、税费、保险费、退换货费用、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验收合格后一次性支付成交价的95%，剩余款质保期满维保合格且系统设备运行正常后一次性无息支付。付款时供应商须提交全额发票、培训记录、验收记录。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2CEA4E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2年，产品有任何质量问题，成交供应商或制造商应当为采购人提供技术援助电话，在30分钟内响应解答采购人在使用中遇到的问题，及时为采购人提出解决问题的建议。现场响应：采购人遇到使用及技术问题，电话咨询不能解决的，成交供应商或制造商应在4小时内派专业技术人员到达现场进行处理，5小时不能解决问题的应提供备用产品。技术升级：在质保期内，如果成交供应商或制造商的产品免费技术升级，成交供应商应及时通知采购人，如采购人有相应要求，成交供应商或制造商应对采购人进行免费升级服务。</w:t>
      </w:r>
    </w:p>
    <w:p w14:paraId="5A7F6A2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33CC80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质保期满后成交供应商或制造商应同样提供免费电话咨询服务；承诺提供产品上门维修服务时只收取维修配件费，不收其他费用。常用的、容易损坏的维修配件的价格清单须在响应文件中列出。</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产品价款千分之三的违约金，超过30日未能交付，采购人有权解除合同；按照验收不合格，采购人有权要求供应商整改，整改期限为10日，整改期限届满仍未完成的供应商每日支付产品价款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3倍违约金；因不能按期交付，整改期限届满以及其他原因导致采购人解除合同，以及供应商明确表示终止合同，供应商需承担合同总金额30%的违约金，并承担对采购人造成的损失。</w:t>
      </w:r>
      <w:bookmarkStart w:id="7" w:name="_GoBack"/>
      <w:bookmarkEnd w:id="7"/>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6B028334">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BBDD1BF">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FA99C8E">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747"/>
      <w:bookmarkStart w:id="3" w:name="_Toc237057793"/>
      <w:bookmarkStart w:id="4" w:name="_Toc128229304"/>
      <w:bookmarkStart w:id="5" w:name="_Toc173677399"/>
      <w:bookmarkStart w:id="6" w:name="_Toc17501734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D74F4DD">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62A51E6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2B2E2636">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8DFBF6E">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6D824D6"/>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4654</Words>
  <Characters>4828</Characters>
  <Lines>0</Lines>
  <Paragraphs>0</Paragraphs>
  <TotalTime>1</TotalTime>
  <ScaleCrop>false</ScaleCrop>
  <LinksUpToDate>false</LinksUpToDate>
  <CharactersWithSpaces>5539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2024-08-26T02:30:23Z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