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1" w:name="_GoBack"/>
      <w:bookmarkEnd w:id="31"/>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spacing w:line="480" w:lineRule="auto"/>
        <w:rPr>
          <w:sz w:val="44"/>
          <w:szCs w:val="44"/>
        </w:rPr>
      </w:pPr>
      <w:r>
        <w:rPr>
          <w:rFonts w:hint="eastAsia"/>
          <w:sz w:val="44"/>
          <w:szCs w:val="44"/>
        </w:rPr>
        <w:t>项目名称：全自动</w:t>
      </w:r>
      <w:r>
        <w:rPr>
          <w:sz w:val="44"/>
          <w:szCs w:val="44"/>
        </w:rPr>
        <w:t>血型分析</w:t>
      </w:r>
      <w:r>
        <w:rPr>
          <w:rFonts w:hint="eastAsia"/>
          <w:sz w:val="44"/>
          <w:szCs w:val="44"/>
        </w:rPr>
        <w:t>仪</w:t>
      </w:r>
    </w:p>
    <w:p>
      <w:pPr>
        <w:spacing w:line="480" w:lineRule="auto"/>
        <w:rPr>
          <w:sz w:val="44"/>
          <w:szCs w:val="44"/>
        </w:rPr>
      </w:pPr>
      <w:r>
        <w:rPr>
          <w:rFonts w:hint="eastAsia"/>
          <w:sz w:val="44"/>
          <w:szCs w:val="44"/>
        </w:rPr>
        <w:t>采购人（名称）：重庆市璧山区人民医院</w:t>
      </w:r>
    </w:p>
    <w:p>
      <w:pPr>
        <w:spacing w:line="480" w:lineRule="auto"/>
        <w:rPr>
          <w:sz w:val="44"/>
          <w:szCs w:val="44"/>
        </w:rPr>
      </w:pPr>
      <w:r>
        <w:rPr>
          <w:rFonts w:hint="eastAsia"/>
          <w:sz w:val="44"/>
          <w:szCs w:val="44"/>
        </w:rPr>
        <w:t>投标人（盖章）：</w:t>
      </w:r>
    </w:p>
    <w:p>
      <w:pPr>
        <w:spacing w:line="480" w:lineRule="auto"/>
        <w:rPr>
          <w:sz w:val="44"/>
          <w:szCs w:val="44"/>
        </w:rPr>
      </w:pPr>
      <w:r>
        <w:rPr>
          <w:rFonts w:hint="eastAsia"/>
          <w:sz w:val="44"/>
          <w:szCs w:val="44"/>
        </w:rPr>
        <w:t>投标人地址：</w:t>
      </w:r>
    </w:p>
    <w:p>
      <w:pPr>
        <w:spacing w:line="480" w:lineRule="auto"/>
        <w:rPr>
          <w:sz w:val="44"/>
          <w:szCs w:val="44"/>
        </w:rPr>
      </w:pPr>
      <w:r>
        <w:rPr>
          <w:rFonts w:hint="eastAsia"/>
          <w:sz w:val="44"/>
          <w:szCs w:val="44"/>
        </w:rPr>
        <w:t>联系人：</w:t>
      </w:r>
    </w:p>
    <w:p>
      <w:pPr>
        <w:spacing w:line="480" w:lineRule="auto"/>
        <w:rPr>
          <w:sz w:val="44"/>
          <w:szCs w:val="44"/>
        </w:rPr>
      </w:pPr>
      <w:r>
        <w:rPr>
          <w:rFonts w:hint="eastAsia"/>
          <w:sz w:val="44"/>
          <w:szCs w:val="44"/>
        </w:rPr>
        <w:t>联系电话：</w:t>
      </w:r>
    </w:p>
    <w:p>
      <w:pPr>
        <w:spacing w:line="480" w:lineRule="auto"/>
        <w:rPr>
          <w:sz w:val="44"/>
          <w:szCs w:val="44"/>
        </w:rPr>
      </w:pPr>
      <w:r>
        <w:rPr>
          <w:rFonts w:hint="eastAsia"/>
          <w:sz w:val="44"/>
          <w:szCs w:val="44"/>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8"/>
        <w:jc w:val="center"/>
      </w:pPr>
      <w:r>
        <w:rPr>
          <w:rFonts w:hint="eastAsia" w:ascii="仿宋" w:hAnsi="仿宋" w:eastAsia="仿宋" w:cs="仿宋"/>
          <w:b/>
          <w:bCs/>
          <w:sz w:val="36"/>
          <w:szCs w:val="24"/>
        </w:rPr>
        <w:t>报价表</w:t>
      </w:r>
    </w:p>
    <w:p>
      <w:pPr>
        <w:pStyle w:val="18"/>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1674"/>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4175" w:type="dxa"/>
            <w:vMerge w:val="restart"/>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w:t>
            </w:r>
            <w:r>
              <w:rPr>
                <w:rFonts w:hint="eastAsia" w:ascii="Times New Roman" w:hAnsi="Times New Roman" w:eastAsia="仿宋" w:cs="Times New Roman"/>
                <w:b/>
                <w:kern w:val="0"/>
                <w:sz w:val="24"/>
              </w:rPr>
              <w:t>技术要求（须完全响应）</w:t>
            </w:r>
          </w:p>
        </w:tc>
        <w:tc>
          <w:tcPr>
            <w:tcW w:w="885"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67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c>
          <w:tcPr>
            <w:tcW w:w="1956" w:type="dxa"/>
            <w:gridSpan w:val="2"/>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4175" w:type="dxa"/>
            <w:vMerge w:val="continue"/>
            <w:vAlign w:val="center"/>
          </w:tcPr>
          <w:p>
            <w:pPr>
              <w:widowControl/>
              <w:spacing w:line="360" w:lineRule="auto"/>
              <w:jc w:val="center"/>
              <w:rPr>
                <w:rFonts w:ascii="Times New Roman" w:hAnsi="Times New Roman" w:eastAsia="仿宋" w:cs="Times New Roman"/>
                <w:b/>
                <w:kern w:val="0"/>
                <w:sz w:val="24"/>
              </w:rPr>
            </w:pPr>
          </w:p>
        </w:tc>
        <w:tc>
          <w:tcPr>
            <w:tcW w:w="885" w:type="dxa"/>
            <w:vMerge w:val="continue"/>
            <w:vAlign w:val="center"/>
          </w:tcPr>
          <w:p>
            <w:pPr>
              <w:widowControl/>
              <w:spacing w:line="360" w:lineRule="auto"/>
              <w:jc w:val="center"/>
              <w:rPr>
                <w:rFonts w:eastAsia="仿宋" w:cs="Times New Roman"/>
                <w:b/>
                <w:kern w:val="0"/>
                <w:sz w:val="24"/>
              </w:rPr>
            </w:pPr>
          </w:p>
        </w:tc>
        <w:tc>
          <w:tcPr>
            <w:tcW w:w="1674" w:type="dxa"/>
            <w:vMerge w:val="continue"/>
            <w:vAlign w:val="center"/>
          </w:tcPr>
          <w:p>
            <w:pPr>
              <w:widowControl/>
              <w:spacing w:line="360" w:lineRule="auto"/>
              <w:jc w:val="center"/>
              <w:rPr>
                <w:rFonts w:eastAsia="仿宋" w:cs="Times New Roman"/>
                <w:b/>
                <w:kern w:val="0"/>
                <w:sz w:val="24"/>
              </w:rPr>
            </w:pPr>
          </w:p>
        </w:tc>
        <w:tc>
          <w:tcPr>
            <w:tcW w:w="992"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品牌型号</w:t>
            </w:r>
          </w:p>
        </w:tc>
        <w:tc>
          <w:tcPr>
            <w:tcW w:w="96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单价（</w:t>
            </w:r>
            <w:r>
              <w:rPr>
                <w:rFonts w:hint="eastAsia" w:eastAsia="仿宋" w:cs="Times New Roman"/>
                <w:b/>
                <w:kern w:val="0"/>
                <w:sz w:val="24"/>
              </w:rPr>
              <w:t>元</w:t>
            </w:r>
            <w:r>
              <w:rPr>
                <w:rFonts w:hint="eastAsia" w:ascii="Times New Roman" w:hAnsi="Times New Roman" w:eastAsia="仿宋" w:cs="Times New Roman"/>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color w:val="555555"/>
                <w:szCs w:val="21"/>
              </w:rPr>
              <w:t>全自动</w:t>
            </w:r>
            <w:r>
              <w:rPr>
                <w:rFonts w:ascii="Times New Roman" w:hAnsi="Times New Roman" w:eastAsia="仿宋" w:cs="Times New Roman"/>
                <w:color w:val="555555"/>
                <w:szCs w:val="21"/>
              </w:rPr>
              <w:t>血型分析仪</w:t>
            </w:r>
          </w:p>
        </w:tc>
        <w:tc>
          <w:tcPr>
            <w:tcW w:w="4175"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1、速度：Rh血型定型：≥108样本/小时</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2、样本位：≥96</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3、试剂位：≥12</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4、检测卡位：≥60</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5、离心位：≥24卡位</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6、孵育位：≥24</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7、有急诊功能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8、双向Lis通讯</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9、加样：≥2个加样通道</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10、配套质控品（全血）</w:t>
            </w:r>
            <w:r>
              <w:rPr>
                <w:rFonts w:hint="eastAsia" w:ascii="Times New Roman" w:hAnsi="Times New Roman" w:eastAsia="仿宋" w:cs="Times New Roman"/>
                <w:lang w:eastAsia="zh-CN"/>
              </w:rPr>
              <w:t>；</w:t>
            </w:r>
          </w:p>
          <w:p>
            <w:pPr>
              <w:rPr>
                <w:rFonts w:ascii="Times New Roman" w:hAnsi="Times New Roman" w:eastAsia="仿宋" w:cs="Times New Roma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1</w:t>
            </w:r>
            <w:r>
              <w:rPr>
                <w:rFonts w:hint="eastAsia" w:ascii="Times New Roman" w:hAnsi="Times New Roman" w:eastAsia="仿宋" w:cs="Times New Roman"/>
              </w:rPr>
              <w:t>、</w:t>
            </w:r>
            <w:r>
              <w:rPr>
                <w:rFonts w:ascii="Times New Roman" w:hAnsi="Times New Roman" w:eastAsia="仿宋" w:cs="Times New Roman"/>
              </w:rPr>
              <w:t>设备主要配置</w:t>
            </w:r>
            <w:r>
              <w:rPr>
                <w:rFonts w:hint="eastAsia" w:ascii="Times New Roman" w:hAnsi="Times New Roman" w:eastAsia="仿宋" w:cs="Times New Roman"/>
              </w:rPr>
              <w:t>：主机1台、配套显示器1台、扫描器</w:t>
            </w:r>
            <w:r>
              <w:rPr>
                <w:rFonts w:hint="eastAsia" w:ascii="Times New Roman" w:hAnsi="Times New Roman" w:eastAsia="仿宋" w:cs="Times New Roman"/>
                <w:lang w:val="en-US" w:eastAsia="zh-CN"/>
              </w:rPr>
              <w:t>1</w:t>
            </w:r>
            <w:r>
              <w:rPr>
                <w:rFonts w:hint="eastAsia" w:ascii="Times New Roman" w:hAnsi="Times New Roman" w:eastAsia="仿宋" w:cs="Times New Roman"/>
              </w:rPr>
              <w:t>台</w:t>
            </w:r>
            <w:r>
              <w:rPr>
                <w:rFonts w:hint="eastAsia" w:ascii="Times New Roman" w:hAnsi="Times New Roman" w:eastAsia="仿宋" w:cs="Times New Roman"/>
                <w:lang w:eastAsia="zh-CN"/>
              </w:rPr>
              <w:t>、</w:t>
            </w:r>
            <w:r>
              <w:rPr>
                <w:rFonts w:hint="eastAsia" w:ascii="Times New Roman" w:hAnsi="Times New Roman" w:eastAsia="仿宋" w:cs="Times New Roman"/>
              </w:rPr>
              <w:t>电源适配器1套</w:t>
            </w:r>
            <w:r>
              <w:rPr>
                <w:rFonts w:hint="eastAsia" w:ascii="Times New Roman" w:hAnsi="Times New Roman" w:eastAsia="仿宋" w:cs="Times New Roman"/>
                <w:lang w:eastAsia="zh-CN"/>
              </w:rPr>
              <w:t>、</w:t>
            </w:r>
            <w:r>
              <w:rPr>
                <w:rFonts w:hint="eastAsia" w:ascii="Times New Roman" w:hAnsi="Times New Roman" w:eastAsia="仿宋" w:cs="Times New Roman"/>
              </w:rPr>
              <w:t>配套离心机一台</w:t>
            </w:r>
            <w:r>
              <w:rPr>
                <w:rFonts w:hint="eastAsia" w:ascii="Times New Roman" w:hAnsi="Times New Roman" w:eastAsia="仿宋" w:cs="Times New Roman"/>
                <w:lang w:eastAsia="zh-CN"/>
              </w:rPr>
              <w:t>（</w:t>
            </w:r>
            <w:r>
              <w:rPr>
                <w:rFonts w:hint="eastAsia" w:ascii="Times New Roman" w:hAnsi="Times New Roman" w:eastAsia="仿宋" w:cs="Times New Roman"/>
              </w:rPr>
              <w:t>用于血型手工法试验</w:t>
            </w:r>
            <w:r>
              <w:rPr>
                <w:rFonts w:hint="eastAsia" w:ascii="Times New Roman" w:hAnsi="Times New Roman" w:eastAsia="仿宋" w:cs="Times New Roman"/>
                <w:lang w:eastAsia="zh-CN"/>
              </w:rPr>
              <w:t>）、</w:t>
            </w:r>
            <w:r>
              <w:rPr>
                <w:rFonts w:hint="eastAsia" w:ascii="Times New Roman" w:hAnsi="Times New Roman" w:eastAsia="仿宋" w:cs="Times New Roman"/>
              </w:rPr>
              <w:t>配套打印机1台</w:t>
            </w:r>
            <w:r>
              <w:rPr>
                <w:rFonts w:hint="eastAsia" w:ascii="Times New Roman" w:hAnsi="Times New Roman" w:eastAsia="仿宋" w:cs="Times New Roman"/>
                <w:lang w:eastAsia="zh-CN"/>
              </w:rPr>
              <w:t>（</w:t>
            </w:r>
            <w:r>
              <w:rPr>
                <w:rFonts w:hint="eastAsia" w:ascii="Times New Roman" w:hAnsi="Times New Roman" w:eastAsia="仿宋" w:cs="Times New Roman"/>
              </w:rPr>
              <w:t>用于结果打印</w:t>
            </w:r>
            <w:r>
              <w:rPr>
                <w:rFonts w:hint="eastAsia" w:ascii="Times New Roman" w:hAnsi="Times New Roman" w:eastAsia="仿宋" w:cs="Times New Roman"/>
                <w:lang w:eastAsia="zh-CN"/>
              </w:rPr>
              <w:t>）、</w:t>
            </w:r>
            <w:r>
              <w:rPr>
                <w:rFonts w:hint="eastAsia" w:ascii="Times New Roman" w:hAnsi="Times New Roman" w:eastAsia="仿宋" w:cs="Times New Roman"/>
              </w:rPr>
              <w:t>质检报告1份、说明书1份、合格证1份</w:t>
            </w:r>
            <w:r>
              <w:rPr>
                <w:rFonts w:ascii="Times New Roman" w:hAnsi="Times New Roman" w:eastAsia="仿宋" w:cs="Times New Roman"/>
              </w:rPr>
              <w:t>。</w:t>
            </w:r>
          </w:p>
        </w:tc>
        <w:tc>
          <w:tcPr>
            <w:tcW w:w="885"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1台</w:t>
            </w:r>
          </w:p>
        </w:tc>
        <w:tc>
          <w:tcPr>
            <w:tcW w:w="1674" w:type="dxa"/>
            <w:vAlign w:val="center"/>
          </w:tcPr>
          <w:p>
            <w:pPr>
              <w:widowControl/>
              <w:spacing w:line="360" w:lineRule="auto"/>
              <w:jc w:val="center"/>
              <w:rPr>
                <w:rFonts w:ascii="Times New Roman" w:hAnsi="Times New Roman" w:eastAsia="仿宋" w:cs="Times New Roman"/>
                <w:bCs/>
                <w:sz w:val="24"/>
              </w:rPr>
            </w:pPr>
            <w:r>
              <w:rPr>
                <w:rFonts w:ascii="Times New Roman" w:hAnsi="Times New Roman" w:eastAsia="仿宋" w:cs="Times New Roman"/>
                <w:bCs/>
                <w:sz w:val="24"/>
              </w:rPr>
              <w:t>10000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8"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674" w:type="dxa"/>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10000</w:t>
            </w:r>
          </w:p>
        </w:tc>
        <w:tc>
          <w:tcPr>
            <w:tcW w:w="992" w:type="dxa"/>
            <w:vAlign w:val="center"/>
          </w:tcPr>
          <w:p>
            <w:pPr>
              <w:widowControl/>
              <w:spacing w:line="360" w:lineRule="auto"/>
              <w:jc w:val="center"/>
              <w:rPr>
                <w:rFonts w:ascii="Times New Roman" w:hAnsi="Times New Roman" w:eastAsia="仿宋" w:cs="Times New Roman"/>
                <w:b/>
                <w:kern w:val="0"/>
                <w:sz w:val="24"/>
              </w:rPr>
            </w:pPr>
          </w:p>
        </w:tc>
        <w:tc>
          <w:tcPr>
            <w:tcW w:w="964" w:type="dxa"/>
            <w:vAlign w:val="center"/>
          </w:tcPr>
          <w:p>
            <w:pPr>
              <w:widowControl/>
              <w:spacing w:line="360" w:lineRule="auto"/>
              <w:jc w:val="center"/>
              <w:rPr>
                <w:rFonts w:ascii="Times New Roman" w:hAnsi="Times New Roman"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pPr>
            <w:r>
              <w:rPr>
                <w:rFonts w:hint="eastAsia"/>
              </w:rPr>
              <w:t>商务部分：</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1.施工及交付期限：合同签订后5个工作日内完成安装及调试。</w:t>
            </w:r>
          </w:p>
          <w:p>
            <w:pPr>
              <w:spacing w:line="500" w:lineRule="exact"/>
              <w:ind w:firstLine="420" w:firstLineChars="200"/>
            </w:pPr>
            <w:r>
              <w:rPr>
                <w:rFonts w:hint="eastAsia"/>
              </w:rPr>
              <w:t xml:space="preserve">2.交货地点：重庆市璧山区人民医院指定地点。 </w:t>
            </w:r>
          </w:p>
          <w:p>
            <w:pPr>
              <w:spacing w:line="500" w:lineRule="exact"/>
              <w:ind w:firstLine="420" w:firstLineChars="200"/>
            </w:pPr>
            <w:r>
              <w:rPr>
                <w:rFonts w:hint="eastAsia"/>
              </w:rPr>
              <w:t>（二）付款方式</w:t>
            </w:r>
          </w:p>
          <w:p>
            <w:pPr>
              <w:spacing w:line="500" w:lineRule="exact"/>
              <w:ind w:firstLine="420" w:firstLineChars="200"/>
            </w:pPr>
            <w:bookmarkStart w:id="0" w:name="_Toc267320052"/>
            <w:r>
              <w:rPr>
                <w:rFonts w:hint="eastAsia"/>
              </w:rPr>
              <w:t>分期付款：安装调试验收合格后支付合同金额的95%，验收合格5年后支付剩余5%。付款时，供应商需提供发票、验收记录、培训记录，未及时提供的采购人有权拒付。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（六）质量保证及售后服务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1.1自验收合格之日起，提供所投产品不低于5年的免费质保。质保期内维修，成交供应商免费提供所有设备原厂配件。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（七）履约保证金</w:t>
            </w:r>
          </w:p>
          <w:p>
            <w:pPr>
              <w:spacing w:line="500" w:lineRule="exact"/>
              <w:ind w:firstLine="420" w:firstLineChars="200"/>
            </w:pPr>
            <w:r>
              <w:rPr>
                <w:rFonts w:hint="eastAsia"/>
              </w:rPr>
              <w:t>无</w:t>
            </w:r>
          </w:p>
          <w:p>
            <w:pPr>
              <w:spacing w:line="500" w:lineRule="exact"/>
              <w:ind w:firstLine="420" w:firstLineChars="200"/>
            </w:pPr>
            <w:r>
              <w:rPr>
                <w:rFonts w:hint="eastAsia"/>
              </w:rPr>
              <w:t>（八）</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spacing w:line="500" w:lineRule="exact"/>
              <w:ind w:firstLine="420" w:firstLineChars="200"/>
            </w:pPr>
            <w:r>
              <w:rPr>
                <w:rFonts w:hint="eastAsia"/>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spacing w:line="500" w:lineRule="exact"/>
              <w:ind w:firstLine="420" w:firstLineChars="200"/>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11"/>
              <w:widowControl/>
              <w:wordWrap w:val="0"/>
              <w:spacing w:before="0" w:beforeAutospacing="0" w:after="0" w:afterAutospacing="0" w:line="380" w:lineRule="exact"/>
              <w:jc w:val="right"/>
              <w:rPr>
                <w:rFonts w:ascii="Times New Roman" w:hAnsi="Times New Roman" w:eastAsia="微软雅黑"/>
                <w:color w:val="555555"/>
                <w:sz w:val="21"/>
                <w:szCs w:val="21"/>
              </w:rPr>
            </w:pPr>
            <w:r>
              <w:rPr>
                <w:rFonts w:hint="eastAsia" w:ascii="Times New Roman" w:hAnsi="Times New Roman" w:eastAsia="微软雅黑"/>
                <w:color w:val="555555"/>
                <w:sz w:val="21"/>
                <w:szCs w:val="21"/>
                <w:lang w:bidi="ar"/>
              </w:rPr>
              <w:t xml:space="preserve">供应商名称（盖章）：               </w:t>
            </w:r>
          </w:p>
          <w:p>
            <w:pPr>
              <w:widowControl/>
              <w:spacing w:line="360" w:lineRule="auto"/>
              <w:jc w:val="center"/>
              <w:rPr>
                <w:rFonts w:ascii="Times New Roman" w:hAnsi="Times New Roman" w:eastAsia="仿宋" w:cs="Times New Roman"/>
                <w:bCs/>
                <w:sz w:val="24"/>
              </w:rPr>
            </w:pPr>
            <w:r>
              <w:rPr>
                <w:rFonts w:hint="eastAsia" w:ascii="Times New Roman" w:hAnsi="Times New Roman" w:eastAsia="微软雅黑" w:cs="Times New Roman"/>
                <w:color w:val="555555"/>
                <w:kern w:val="0"/>
                <w:szCs w:val="21"/>
                <w:lang w:bidi="ar"/>
              </w:rPr>
              <w:t xml:space="preserve">                                           日期：               </w:t>
            </w:r>
          </w:p>
        </w:tc>
      </w:tr>
    </w:tbl>
    <w:p>
      <w:pPr>
        <w:wordWrap w:val="0"/>
        <w:spacing w:line="440" w:lineRule="exact"/>
        <w:ind w:firstLine="562" w:firstLineChars="200"/>
        <w:rPr>
          <w:rFonts w:ascii="方正仿宋_GBK" w:hAnsi="方正仿宋_GBK" w:eastAsia="方正仿宋_GBK" w:cs="方正仿宋_GBK"/>
          <w:sz w:val="28"/>
          <w:szCs w:val="28"/>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sz w:val="28"/>
          <w:szCs w:val="21"/>
        </w:rPr>
        <w:t>其他要求：1.</w:t>
      </w:r>
      <w:r>
        <w:rPr>
          <w:rFonts w:hint="eastAsia" w:ascii="方正仿宋_GBK" w:hAnsi="方正仿宋_GBK" w:eastAsia="方正仿宋_GBK" w:cs="方正仿宋_GBK"/>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3677397"/>
      <w:bookmarkStart w:id="3" w:name="_Toc156196470"/>
      <w:bookmarkStart w:id="4" w:name="_Toc156730450"/>
      <w:bookmarkStart w:id="5" w:name="_Toc166139912"/>
      <w:bookmarkStart w:id="6" w:name="_Toc156196559"/>
      <w:bookmarkStart w:id="7" w:name="_Toc128229302"/>
      <w:bookmarkStart w:id="8" w:name="_Toc166549448"/>
      <w:bookmarkStart w:id="9" w:name="_Toc128229916"/>
      <w:bookmarkStart w:id="10" w:name="_Toc156815770"/>
      <w:bookmarkStart w:id="11" w:name="_Toc128229745"/>
      <w:bookmarkStart w:id="12" w:name="_Toc175017342"/>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56196560"/>
      <w:bookmarkStart w:id="14" w:name="_Toc166549449"/>
      <w:bookmarkStart w:id="15" w:name="_Toc173677398"/>
      <w:bookmarkStart w:id="16" w:name="_Toc156730451"/>
      <w:bookmarkStart w:id="17" w:name="_Toc166139913"/>
      <w:bookmarkStart w:id="18" w:name="_Toc128229746"/>
      <w:bookmarkStart w:id="19" w:name="_Toc128229303"/>
      <w:bookmarkStart w:id="20" w:name="_Toc156196471"/>
      <w:bookmarkStart w:id="21" w:name="_Toc175017343"/>
      <w:bookmarkStart w:id="22" w:name="_Toc128229917"/>
      <w:bookmarkStart w:id="23" w:name="_Toc1568157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28014297"/>
      <w:bookmarkStart w:id="25" w:name="_Toc128229304"/>
      <w:bookmarkStart w:id="26" w:name="_Toc128229747"/>
      <w:bookmarkStart w:id="27" w:name="_Toc175017344"/>
      <w:bookmarkStart w:id="28" w:name="_Toc237057793"/>
      <w:bookmarkStart w:id="29" w:name="_Toc173677399"/>
      <w:bookmarkStart w:id="30" w:name="_Toc156196472"/>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ascii="仿宋_GB2312" w:eastAsia="仿宋_GB2312"/>
          <w:b/>
          <w:snapToGrid w:val="0"/>
          <w:kern w:val="0"/>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6.其他可以证明投标人有能力完成本项目的佐证材料（医疗器械经营相关资质等）</w:t>
      </w:r>
    </w:p>
    <w:p>
      <w:pPr>
        <w:pStyle w:val="4"/>
        <w:rPr>
          <w:rFonts w:ascii="仿宋_GB2312" w:eastAsia="仿宋_GB2312"/>
          <w:b/>
          <w:sz w:val="28"/>
          <w:szCs w:val="28"/>
          <w:lang w:val="en-US"/>
        </w:rPr>
      </w:pPr>
      <w:r>
        <w:rPr>
          <w:rFonts w:hint="eastAsia" w:ascii="仿宋_GB2312" w:eastAsia="仿宋_GB2312"/>
          <w:b/>
          <w:sz w:val="28"/>
          <w:szCs w:val="28"/>
          <w:lang w:val="en-US"/>
        </w:rPr>
        <w:t>7.投标产品介绍（能查看到产品参数）</w:t>
      </w: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 w:hAnsi="仿宋" w:eastAsia="仿宋" w:cs="宋体"/>
          <w:sz w:val="28"/>
          <w:szCs w:val="28"/>
        </w:rPr>
        <w:t>8.</w:t>
      </w:r>
      <w:r>
        <w:rPr>
          <w:rFonts w:hint="eastAsia" w:ascii="仿宋" w:hAnsi="仿宋" w:eastAsia="仿宋" w:cs="方正仿宋_GBK"/>
          <w:b/>
          <w:bCs/>
          <w:sz w:val="28"/>
          <w:szCs w:val="28"/>
        </w:rPr>
        <w:t>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5b0e9505-5a1d-43ed-b793-b67196f31190"/>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D4292"/>
    <w:rsid w:val="00C07B83"/>
    <w:rsid w:val="00DE0516"/>
    <w:rsid w:val="00E075A1"/>
    <w:rsid w:val="00ED2A4A"/>
    <w:rsid w:val="00F67A6D"/>
    <w:rsid w:val="0C872834"/>
    <w:rsid w:val="0CE64C8D"/>
    <w:rsid w:val="0FD01451"/>
    <w:rsid w:val="122D0B62"/>
    <w:rsid w:val="1403074D"/>
    <w:rsid w:val="17F41AF2"/>
    <w:rsid w:val="1922346A"/>
    <w:rsid w:val="1AF86BE0"/>
    <w:rsid w:val="1BDE0896"/>
    <w:rsid w:val="1CF00EFC"/>
    <w:rsid w:val="21426D4A"/>
    <w:rsid w:val="236757CC"/>
    <w:rsid w:val="2FC44243"/>
    <w:rsid w:val="33FB61AD"/>
    <w:rsid w:val="376E6279"/>
    <w:rsid w:val="3AC82FE8"/>
    <w:rsid w:val="482D6FF9"/>
    <w:rsid w:val="496140CE"/>
    <w:rsid w:val="4AE139DB"/>
    <w:rsid w:val="4BDB0A24"/>
    <w:rsid w:val="4C31315D"/>
    <w:rsid w:val="58A837E2"/>
    <w:rsid w:val="5E18446E"/>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4"/>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character" w:styleId="16">
    <w:name w:val="Strong"/>
    <w:basedOn w:val="15"/>
    <w:qFormat/>
    <w:uiPriority w:val="0"/>
    <w:rPr>
      <w:b/>
    </w:rPr>
  </w:style>
  <w:style w:type="paragraph" w:customStyle="1" w:styleId="1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9">
    <w:name w:val="font91"/>
    <w:basedOn w:val="15"/>
    <w:qFormat/>
    <w:uiPriority w:val="0"/>
    <w:rPr>
      <w:rFonts w:ascii="楷体" w:hAnsi="楷体" w:eastAsia="楷体" w:cs="楷体"/>
      <w:color w:val="000000"/>
      <w:sz w:val="22"/>
      <w:szCs w:val="22"/>
      <w:u w:val="none"/>
      <w:vertAlign w:val="superscript"/>
    </w:rPr>
  </w:style>
  <w:style w:type="character" w:customStyle="1" w:styleId="20">
    <w:name w:val="font21"/>
    <w:basedOn w:val="15"/>
    <w:qFormat/>
    <w:uiPriority w:val="0"/>
    <w:rPr>
      <w:rFonts w:hint="eastAsia" w:ascii="仿宋" w:hAnsi="仿宋" w:eastAsia="仿宋" w:cs="仿宋"/>
      <w:b/>
      <w:bCs/>
      <w:color w:val="000000"/>
      <w:sz w:val="24"/>
      <w:szCs w:val="24"/>
      <w:u w:val="none"/>
    </w:rPr>
  </w:style>
  <w:style w:type="paragraph" w:customStyle="1" w:styleId="21">
    <w:name w:val="BodyText"/>
    <w:basedOn w:val="1"/>
    <w:next w:val="22"/>
    <w:qFormat/>
    <w:uiPriority w:val="0"/>
    <w:pPr>
      <w:textAlignment w:val="baseline"/>
    </w:pPr>
    <w:rPr>
      <w:rFonts w:ascii="仿宋_GB2312" w:eastAsia="仿宋_GB2312"/>
      <w:sz w:val="32"/>
    </w:rPr>
  </w:style>
  <w:style w:type="paragraph" w:customStyle="1" w:styleId="22">
    <w:name w:val="BodyTextIndent"/>
    <w:basedOn w:val="1"/>
    <w:qFormat/>
    <w:uiPriority w:val="0"/>
    <w:pPr>
      <w:spacing w:line="700" w:lineRule="exact"/>
      <w:ind w:left="960"/>
      <w:textAlignment w:val="baseline"/>
    </w:pPr>
    <w:rPr>
      <w:sz w:val="44"/>
    </w:rPr>
  </w:style>
  <w:style w:type="paragraph" w:styleId="23">
    <w:name w:val="List Paragraph"/>
    <w:basedOn w:val="1"/>
    <w:qFormat/>
    <w:uiPriority w:val="34"/>
    <w:pPr>
      <w:ind w:firstLine="420" w:firstLineChars="200"/>
    </w:pPr>
  </w:style>
  <w:style w:type="character" w:customStyle="1" w:styleId="24">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5">
    <w:name w:val="页眉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4291</Words>
  <Characters>4407</Characters>
  <Lines>36</Lines>
  <Paragraphs>10</Paragraphs>
  <TotalTime>3</TotalTime>
  <ScaleCrop>false</ScaleCrop>
  <LinksUpToDate>false</LinksUpToDate>
  <CharactersWithSpaces>4964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2024-03-05T02:25:00Z</cp:lastPrinted>
  <dcterms:modified xsi:type="dcterms:W3CDTF">2024-03-14T03:26:41Z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124892168A84436ABEAF094C2A8071F4</vt:lpwstr>
  </property>
</Properties>
</file>