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项目名称：桶装水</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项目编号：BSRMYY-YNCG-2024-04006</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left="0" w:leftChars="0" w:firstLine="640" w:firstLineChars="20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营业执照复印或扫描件（须圈出符合资质要求的经营范围和有效期）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pStyle w:val="4"/>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spacing w:line="594" w:lineRule="exact"/>
        <w:ind w:left="0" w:leftChars="0" w:firstLine="640" w:firstLineChars="200"/>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8.质保及售后服务承诺。</w:t>
      </w:r>
    </w:p>
    <w:p>
      <w:pPr>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eastAsia="仿宋_GB2312" w:cs="宋体"/>
          <w:color w:val="auto"/>
          <w:sz w:val="32"/>
          <w:szCs w:val="32"/>
          <w:lang w:val="en-US" w:eastAsia="zh-CN"/>
        </w:rPr>
        <w:t>9..</w:t>
      </w:r>
      <w:r>
        <w:rPr>
          <w:rFonts w:hint="eastAsia" w:ascii="仿宋_GB2312" w:hAnsi="宋体" w:eastAsia="仿宋_GB2312" w:cs="宋体"/>
          <w:color w:val="auto"/>
          <w:sz w:val="32"/>
          <w:szCs w:val="32"/>
          <w:lang w:val="en-US" w:eastAsia="zh-CN"/>
        </w:rPr>
        <w:t>投标廉政承诺。</w:t>
      </w:r>
    </w:p>
    <w:p>
      <w:pPr>
        <w:ind w:left="0" w:leftChars="0" w:firstLine="640" w:firstLineChars="200"/>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10.密封档案袋格式要求。</w:t>
      </w:r>
    </w:p>
    <w:p>
      <w:pPr>
        <w:rPr>
          <w:rFonts w:hint="eastAsia"/>
          <w:lang w:val="en-US" w:eastAsia="zh-CN"/>
        </w:rPr>
      </w:pPr>
      <w:r>
        <w:rPr>
          <w:rFonts w:hint="eastAsia" w:ascii="仿宋_GB2312" w:eastAsia="仿宋_GB2312" w:cs="宋体"/>
          <w:color w:val="auto"/>
          <w:sz w:val="32"/>
          <w:szCs w:val="32"/>
          <w:lang w:val="en-US" w:eastAsia="zh-CN"/>
        </w:rPr>
        <w:t xml:space="preserve">  </w:t>
      </w:r>
      <w:bookmarkStart w:id="31" w:name="_GoBack"/>
      <w:bookmarkEnd w:id="31"/>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1.公司营业执照（须圈出符合资质要求的经营范围和有效期）</w:t>
      </w: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pStyle w:val="17"/>
        <w:jc w:val="center"/>
        <w:rPr>
          <w:rFonts w:hint="default"/>
          <w:lang w:val="en-US" w:eastAsia="zh-CN"/>
        </w:rPr>
      </w:pPr>
      <w:r>
        <w:rPr>
          <w:rFonts w:hint="eastAsia" w:ascii="仿宋" w:hAnsi="仿宋" w:eastAsia="仿宋" w:cs="仿宋"/>
          <w:b/>
          <w:bCs/>
          <w:color w:val="auto"/>
          <w:sz w:val="36"/>
          <w:szCs w:val="24"/>
          <w:lang w:val="en-US" w:eastAsia="zh-CN"/>
        </w:rPr>
        <w:t>报价表</w:t>
      </w:r>
    </w:p>
    <w:p>
      <w:pPr>
        <w:pStyle w:val="17"/>
        <w:rPr>
          <w:rFonts w:hint="eastAsia"/>
          <w:lang w:val="en-US" w:eastAsia="zh-CN"/>
        </w:rPr>
      </w:pPr>
    </w:p>
    <w:tbl>
      <w:tblPr>
        <w:tblStyle w:val="12"/>
        <w:tblW w:w="10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228"/>
        <w:gridCol w:w="1777"/>
        <w:gridCol w:w="4627"/>
        <w:gridCol w:w="969"/>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561"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序号</w:t>
            </w:r>
          </w:p>
        </w:tc>
        <w:tc>
          <w:tcPr>
            <w:tcW w:w="1228"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产品名称</w:t>
            </w:r>
          </w:p>
        </w:tc>
        <w:tc>
          <w:tcPr>
            <w:tcW w:w="1777" w:type="dxa"/>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品牌要求</w:t>
            </w:r>
          </w:p>
        </w:tc>
        <w:tc>
          <w:tcPr>
            <w:tcW w:w="4627" w:type="dxa"/>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参数要求</w:t>
            </w:r>
            <w:r>
              <w:rPr>
                <w:rFonts w:hint="eastAsia" w:ascii="Times New Roman" w:hAnsi="Times New Roman" w:eastAsia="仿宋" w:cs="Times New Roman"/>
                <w:b/>
                <w:bCs w:val="0"/>
                <w:kern w:val="0"/>
                <w:sz w:val="24"/>
                <w:szCs w:val="24"/>
                <w:lang w:val="en-US" w:eastAsia="zh-CN"/>
              </w:rPr>
              <w:t>（须完全响应）</w:t>
            </w:r>
          </w:p>
        </w:tc>
        <w:tc>
          <w:tcPr>
            <w:tcW w:w="969" w:type="dxa"/>
            <w:vAlign w:val="center"/>
          </w:tcPr>
          <w:p>
            <w:pPr>
              <w:widowControl/>
              <w:spacing w:line="360" w:lineRule="auto"/>
              <w:jc w:val="center"/>
              <w:rPr>
                <w:rFonts w:hint="default" w:ascii="Times New Roman" w:hAnsi="Times New Roman" w:eastAsia="仿宋" w:cs="Times New Roman"/>
                <w:b/>
                <w:kern w:val="0"/>
                <w:sz w:val="24"/>
                <w:szCs w:val="24"/>
                <w:lang w:eastAsia="zh-CN"/>
              </w:rPr>
            </w:pPr>
            <w:r>
              <w:rPr>
                <w:rFonts w:hint="eastAsia" w:eastAsia="仿宋" w:cs="Times New Roman"/>
                <w:b/>
                <w:kern w:val="0"/>
                <w:sz w:val="24"/>
                <w:szCs w:val="24"/>
                <w:lang w:val="en-US" w:eastAsia="zh-CN"/>
              </w:rPr>
              <w:t>预估用</w:t>
            </w:r>
            <w:r>
              <w:rPr>
                <w:rFonts w:hint="eastAsia" w:eastAsia="仿宋" w:cs="Times New Roman"/>
                <w:b/>
                <w:kern w:val="0"/>
                <w:sz w:val="24"/>
                <w:szCs w:val="24"/>
                <w:lang w:eastAsia="zh-CN"/>
              </w:rPr>
              <w:t>量（</w:t>
            </w:r>
            <w:r>
              <w:rPr>
                <w:rFonts w:hint="eastAsia" w:eastAsia="仿宋" w:cs="Times New Roman"/>
                <w:b/>
                <w:kern w:val="0"/>
                <w:sz w:val="24"/>
                <w:szCs w:val="24"/>
                <w:lang w:val="en-US" w:eastAsia="zh-CN"/>
              </w:rPr>
              <w:t>桶</w:t>
            </w:r>
            <w:r>
              <w:rPr>
                <w:rFonts w:hint="eastAsia" w:eastAsia="仿宋" w:cs="Times New Roman"/>
                <w:b/>
                <w:kern w:val="0"/>
                <w:sz w:val="24"/>
                <w:szCs w:val="24"/>
                <w:lang w:eastAsia="zh-CN"/>
              </w:rPr>
              <w:t>）</w:t>
            </w:r>
          </w:p>
        </w:tc>
        <w:tc>
          <w:tcPr>
            <w:tcW w:w="1326" w:type="dxa"/>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eastAsia="仿宋" w:cs="Times New Roman"/>
                <w:b/>
                <w:kern w:val="0"/>
                <w:sz w:val="24"/>
                <w:szCs w:val="24"/>
                <w:lang w:val="en-US" w:eastAsia="zh-CN"/>
              </w:rPr>
              <w:t>最高单价（元）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5"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bidi w:val="0"/>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w:t>
            </w:r>
          </w:p>
        </w:tc>
        <w:tc>
          <w:tcPr>
            <w:tcW w:w="1228" w:type="dxa"/>
            <w:tcBorders>
              <w:top w:val="single" w:color="auto" w:sz="4" w:space="0"/>
              <w:left w:val="single" w:color="auto" w:sz="4" w:space="0"/>
              <w:bottom w:val="single" w:color="auto" w:sz="4" w:space="0"/>
              <w:right w:val="single" w:color="auto" w:sz="4" w:space="0"/>
            </w:tcBorders>
            <w:vAlign w:val="center"/>
          </w:tcPr>
          <w:p>
            <w:pPr>
              <w:bidi w:val="0"/>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桶装水</w:t>
            </w:r>
          </w:p>
        </w:tc>
        <w:tc>
          <w:tcPr>
            <w:tcW w:w="1777" w:type="dxa"/>
            <w:vAlign w:val="center"/>
          </w:tcPr>
          <w:p>
            <w:pPr>
              <w:bidi w:val="0"/>
              <w:jc w:val="left"/>
              <w:rPr>
                <w:rFonts w:hint="default" w:ascii="方正仿宋_GBK" w:hAnsi="方正仿宋_GBK" w:eastAsia="方正仿宋_GBK" w:cs="方正仿宋_GBK"/>
                <w:sz w:val="24"/>
                <w:szCs w:val="24"/>
                <w:lang w:val="en-US" w:eastAsia="zh-CN"/>
              </w:rPr>
            </w:pPr>
            <w:r>
              <w:rPr>
                <w:rFonts w:hint="default" w:ascii="方正仿宋_GBK" w:hAnsi="方正仿宋_GBK" w:eastAsia="方正仿宋_GBK" w:cs="方正仿宋_GBK"/>
                <w:sz w:val="24"/>
                <w:szCs w:val="24"/>
                <w:lang w:val="en-US" w:eastAsia="zh-CN"/>
              </w:rPr>
              <w:t>农夫山泉/娃哈哈/怡宝</w:t>
            </w:r>
          </w:p>
        </w:tc>
        <w:tc>
          <w:tcPr>
            <w:tcW w:w="4627" w:type="dxa"/>
            <w:vAlign w:val="center"/>
          </w:tcPr>
          <w:p>
            <w:pPr>
              <w:bidi w:val="0"/>
              <w:jc w:val="left"/>
              <w:rPr>
                <w:rFonts w:hint="eastAsia"/>
                <w:lang w:val="en-US" w:eastAsia="zh-CN"/>
              </w:rPr>
            </w:pPr>
            <w:r>
              <w:rPr>
                <w:rFonts w:hint="eastAsia"/>
                <w:lang w:val="en-US" w:eastAsia="zh-CN"/>
              </w:rPr>
              <w:t>水质要求：符合GB19298-2014《定量包装商品净含量计量检验规则》、JJF1070-2005标准，无异味、无异臭，无异物，色度≤5度，不得呈现其他异色，PH值：5.0-7.0，浑浊度≤1NTU，余氯（游离氯）≤0.05mg/L，三氯甲烷≤0.02mg/L，四氯化碳≤0.002mg/L，耗氧量（以O2计)≤2.0mg/L,溴酸盐≤0.01mg/L，亚硝酸盐(以NO2-计）≤0.005mg/L，铅(以Pb计）≤0.01mg/L，总砷（以As计）≤0.01mg/L，镉（以Cd计）≤0.005mg/L菌落总数≤20cfu/mL，不得检出大肠菌群、不得检出铜绿假单细胞菌等；</w:t>
            </w:r>
          </w:p>
          <w:p>
            <w:pPr>
              <w:bidi w:val="0"/>
              <w:jc w:val="left"/>
              <w:rPr>
                <w:rFonts w:hint="eastAsia"/>
                <w:lang w:val="en-US" w:eastAsia="zh-CN"/>
              </w:rPr>
            </w:pPr>
            <w:r>
              <w:rPr>
                <w:rFonts w:hint="eastAsia"/>
                <w:lang w:val="en-US" w:eastAsia="zh-CN"/>
              </w:rPr>
              <w:t>水桶材质要求：PC，桶上应标明食品名称、配料表、净含量和规格、生产者名称及联系方式、生产日期、保质期等相关信息；规格为18.9L/桶；</w:t>
            </w:r>
          </w:p>
          <w:p>
            <w:pPr>
              <w:bidi w:val="0"/>
              <w:jc w:val="left"/>
              <w:rPr>
                <w:rFonts w:hint="default"/>
                <w:lang w:val="en-US" w:eastAsia="zh-CN"/>
              </w:rPr>
            </w:pPr>
            <w:r>
              <w:rPr>
                <w:rFonts w:hint="eastAsia"/>
                <w:lang w:val="en-US" w:eastAsia="zh-CN"/>
              </w:rPr>
              <w:t>配套饮水机要求：根据采购人需求免费配送相应数量的立式饮水机供员工使用，饮水机应满足全新，带常温、加热功能，防干烧等功能，使用期间应及时维护检测和更换，每半年免费进行一次清洗消毒，保证采购人饮水和用电安全。</w:t>
            </w:r>
          </w:p>
        </w:tc>
        <w:tc>
          <w:tcPr>
            <w:tcW w:w="969"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10000</w:t>
            </w:r>
          </w:p>
        </w:tc>
        <w:tc>
          <w:tcPr>
            <w:tcW w:w="1326"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6"/>
            <w:tcBorders>
              <w:top w:val="single" w:color="auto" w:sz="4" w:space="0"/>
              <w:left w:val="single" w:color="auto" w:sz="4" w:space="0"/>
              <w:bottom w:val="single" w:color="auto" w:sz="4" w:space="0"/>
            </w:tcBorders>
            <w:vAlign w:val="center"/>
          </w:tcPr>
          <w:p>
            <w:pPr>
              <w:widowControl/>
              <w:spacing w:line="360" w:lineRule="auto"/>
              <w:jc w:val="left"/>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商务部分：（须完全响应）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（一）时间地点</w:t>
            </w:r>
            <w:r>
              <w:rPr>
                <w:rFonts w:hint="eastAsia" w:ascii="方正仿宋_GBK" w:hAnsi="方正仿宋_GBK" w:eastAsia="方正仿宋_GBK" w:cs="方正仿宋_GBK"/>
                <w:sz w:val="24"/>
                <w:szCs w:val="24"/>
                <w:lang w:val="en-US" w:eastAsia="zh-CN"/>
              </w:rPr>
              <w:t>及报价</w:t>
            </w:r>
            <w:r>
              <w:rPr>
                <w:rFonts w:hint="eastAsia" w:ascii="方正仿宋_GBK" w:hAnsi="方正仿宋_GBK" w:eastAsia="方正仿宋_GBK" w:cs="方正仿宋_GBK"/>
                <w:sz w:val="24"/>
                <w:szCs w:val="24"/>
              </w:rPr>
              <w:t>要求</w:t>
            </w:r>
          </w:p>
          <w:p>
            <w:pPr>
              <w:spacing w:line="500" w:lineRule="exact"/>
              <w:ind w:firstLine="480" w:firstLineChars="2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val="en-US" w:eastAsia="zh-CN"/>
              </w:rPr>
              <w:t>合同期限：3年。</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交付期限：合同签订后</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采购人发出送货通知后当日</w:t>
            </w:r>
            <w:r>
              <w:rPr>
                <w:rFonts w:hint="eastAsia" w:ascii="方正仿宋_GBK" w:hAnsi="方正仿宋_GBK" w:eastAsia="方正仿宋_GBK" w:cs="方正仿宋_GBK"/>
                <w:sz w:val="24"/>
                <w:szCs w:val="24"/>
              </w:rPr>
              <w:t>完成</w:t>
            </w:r>
            <w:r>
              <w:rPr>
                <w:rFonts w:hint="eastAsia" w:ascii="方正仿宋_GBK" w:hAnsi="方正仿宋_GBK" w:eastAsia="方正仿宋_GBK" w:cs="方正仿宋_GBK"/>
                <w:sz w:val="24"/>
                <w:szCs w:val="24"/>
                <w:lang w:val="en-US" w:eastAsia="zh-CN"/>
              </w:rPr>
              <w:t>送货</w:t>
            </w:r>
            <w:r>
              <w:rPr>
                <w:rFonts w:hint="eastAsia" w:ascii="方正仿宋_GBK" w:hAnsi="方正仿宋_GBK" w:eastAsia="方正仿宋_GBK" w:cs="方正仿宋_GBK"/>
                <w:sz w:val="24"/>
                <w:szCs w:val="24"/>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.交货地点：重庆市璧山区人民医院</w:t>
            </w:r>
            <w:r>
              <w:rPr>
                <w:rFonts w:hint="eastAsia" w:ascii="方正仿宋_GBK" w:hAnsi="方正仿宋_GBK" w:eastAsia="方正仿宋_GBK" w:cs="方正仿宋_GBK"/>
                <w:sz w:val="24"/>
                <w:szCs w:val="24"/>
                <w:lang w:val="en-US" w:eastAsia="zh-CN"/>
              </w:rPr>
              <w:t>指</w:t>
            </w:r>
            <w:r>
              <w:rPr>
                <w:rFonts w:hint="eastAsia" w:ascii="方正仿宋_GBK" w:hAnsi="方正仿宋_GBK" w:eastAsia="方正仿宋_GBK" w:cs="方正仿宋_GBK"/>
                <w:sz w:val="24"/>
                <w:szCs w:val="24"/>
              </w:rPr>
              <w:t xml:space="preserve">定地点。 </w:t>
            </w:r>
          </w:p>
          <w:p>
            <w:pPr>
              <w:spacing w:line="500" w:lineRule="exact"/>
              <w:ind w:firstLine="480" w:firstLineChars="200"/>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4.报价要求：本次报价为人民币包干价，包含：货款、配套设备费、运输装卸费、税费、保险费、场地清洁费、验收检测费等完成本项目所需的一切费用。因成交供应商自身原因造成漏报、少报皆由其自行承担责任，采购人不再补偿。服务期间发生的饮水及用电安全事故责任由供应商自行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（二）付款方式</w:t>
            </w:r>
          </w:p>
          <w:p>
            <w:pPr>
              <w:spacing w:line="500" w:lineRule="exact"/>
              <w:ind w:firstLine="480" w:firstLineChars="200"/>
              <w:rPr>
                <w:rFonts w:hint="eastAsia" w:ascii="方正仿宋_GBK" w:hAnsi="方正仿宋_GBK" w:eastAsia="方正仿宋_GBK" w:cs="方正仿宋_GBK"/>
                <w:sz w:val="24"/>
                <w:szCs w:val="24"/>
              </w:rPr>
            </w:pPr>
            <w:bookmarkStart w:id="0" w:name="_Toc267320052"/>
            <w:r>
              <w:rPr>
                <w:rFonts w:hint="eastAsia" w:ascii="方正仿宋_GBK" w:hAnsi="方正仿宋_GBK" w:eastAsia="方正仿宋_GBK" w:cs="方正仿宋_GBK"/>
                <w:sz w:val="24"/>
                <w:szCs w:val="24"/>
              </w:rPr>
              <w:t>分期付款：</w:t>
            </w:r>
            <w:r>
              <w:rPr>
                <w:rFonts w:hint="eastAsia" w:ascii="方正仿宋_GBK" w:hAnsi="方正仿宋_GBK" w:eastAsia="方正仿宋_GBK" w:cs="方正仿宋_GBK"/>
                <w:sz w:val="24"/>
                <w:szCs w:val="24"/>
                <w:lang w:val="en-US" w:eastAsia="zh-CN"/>
              </w:rPr>
              <w:t>每半年结算一次</w:t>
            </w:r>
            <w:r>
              <w:rPr>
                <w:rFonts w:hint="eastAsia" w:ascii="方正仿宋_GBK" w:hAnsi="方正仿宋_GBK" w:eastAsia="方正仿宋_GBK" w:cs="方正仿宋_GBK"/>
                <w:sz w:val="24"/>
                <w:szCs w:val="24"/>
              </w:rPr>
              <w:t>。付款时，供应商需提供发票、</w:t>
            </w:r>
            <w:r>
              <w:rPr>
                <w:rFonts w:hint="eastAsia" w:ascii="方正仿宋_GBK" w:hAnsi="方正仿宋_GBK" w:eastAsia="方正仿宋_GBK" w:cs="方正仿宋_GBK"/>
                <w:sz w:val="24"/>
                <w:szCs w:val="24"/>
                <w:lang w:val="en-US" w:eastAsia="zh-CN"/>
              </w:rPr>
              <w:t>送货</w:t>
            </w:r>
            <w:r>
              <w:rPr>
                <w:rFonts w:hint="eastAsia" w:ascii="方正仿宋_GBK" w:hAnsi="方正仿宋_GBK" w:eastAsia="方正仿宋_GBK" w:cs="方正仿宋_GBK"/>
                <w:sz w:val="24"/>
                <w:szCs w:val="24"/>
              </w:rPr>
              <w:t>验收记录，未及时提供的</w:t>
            </w:r>
            <w:r>
              <w:rPr>
                <w:rFonts w:hint="eastAsia" w:ascii="方正仿宋_GBK" w:hAnsi="方正仿宋_GBK" w:eastAsia="方正仿宋_GBK" w:cs="方正仿宋_GBK"/>
                <w:sz w:val="24"/>
                <w:szCs w:val="24"/>
                <w:lang w:val="en-US" w:eastAsia="zh-CN"/>
              </w:rPr>
              <w:t>采购人</w:t>
            </w:r>
            <w:r>
              <w:rPr>
                <w:rFonts w:hint="eastAsia" w:ascii="方正仿宋_GBK" w:hAnsi="方正仿宋_GBK" w:eastAsia="方正仿宋_GBK" w:cs="方正仿宋_GBK"/>
                <w:sz w:val="24"/>
                <w:szCs w:val="24"/>
              </w:rPr>
              <w:t>有权拒付。</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（三）合同签订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成交供应商在接到成交通知后20日内与采购人签订合同</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本项目采用单价合同，合同期限3年，市场价格拨动在20%以内的不调整价格，价格拨动超过20%采购人可与供应商协商或重新采购</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b/>
                <w:bCs/>
                <w:sz w:val="24"/>
                <w:szCs w:val="24"/>
              </w:rPr>
              <w:t>若投标人非投标产品制造商，签订合同</w:t>
            </w:r>
            <w:r>
              <w:rPr>
                <w:rFonts w:hint="eastAsia" w:ascii="方正仿宋_GBK" w:hAnsi="方正仿宋_GBK" w:eastAsia="方正仿宋_GBK" w:cs="方正仿宋_GBK"/>
                <w:b/>
                <w:bCs/>
                <w:sz w:val="24"/>
                <w:szCs w:val="24"/>
                <w:lang w:val="en-US" w:eastAsia="zh-CN"/>
              </w:rPr>
              <w:t>前</w:t>
            </w:r>
            <w:r>
              <w:rPr>
                <w:rFonts w:hint="eastAsia" w:ascii="方正仿宋_GBK" w:hAnsi="方正仿宋_GBK" w:eastAsia="方正仿宋_GBK" w:cs="方正仿宋_GBK"/>
                <w:b/>
                <w:bCs/>
                <w:sz w:val="24"/>
                <w:szCs w:val="24"/>
              </w:rPr>
              <w:t>须提交投标产品制造商工商营业执照复印件</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制造商</w:t>
            </w:r>
            <w:r>
              <w:rPr>
                <w:rFonts w:hint="eastAsia" w:ascii="方正仿宋_GBK" w:hAnsi="方正仿宋_GBK" w:eastAsia="方正仿宋_GBK" w:cs="方正仿宋_GBK"/>
                <w:b/>
                <w:bCs/>
                <w:sz w:val="24"/>
                <w:szCs w:val="24"/>
              </w:rPr>
              <w:t>授权委托书</w:t>
            </w:r>
            <w:r>
              <w:rPr>
                <w:rFonts w:hint="eastAsia" w:ascii="方正仿宋_GBK" w:hAnsi="方正仿宋_GBK" w:eastAsia="方正仿宋_GBK" w:cs="方正仿宋_GBK"/>
                <w:b/>
                <w:bCs/>
                <w:sz w:val="24"/>
                <w:szCs w:val="24"/>
                <w:lang w:val="en-US" w:eastAsia="zh-CN"/>
              </w:rPr>
              <w:t>和质保承诺，确保产品来源正规。</w:t>
            </w:r>
          </w:p>
          <w:bookmarkEnd w:id="0"/>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（四）安装及验收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1.成交供应商将</w:t>
            </w:r>
            <w:r>
              <w:rPr>
                <w:rFonts w:hint="eastAsia" w:ascii="方正仿宋_GBK" w:hAnsi="方正仿宋_GBK" w:eastAsia="方正仿宋_GBK" w:cs="方正仿宋_GBK"/>
                <w:sz w:val="24"/>
                <w:szCs w:val="24"/>
                <w:lang w:val="en-US" w:eastAsia="zh-CN"/>
              </w:rPr>
              <w:t>货物</w:t>
            </w:r>
            <w:r>
              <w:rPr>
                <w:rFonts w:hint="eastAsia" w:ascii="方正仿宋_GBK" w:hAnsi="方正仿宋_GBK" w:eastAsia="方正仿宋_GBK" w:cs="方正仿宋_GBK"/>
                <w:sz w:val="24"/>
                <w:szCs w:val="24"/>
              </w:rPr>
              <w:t>免费送到采购人指定地点，经采购人当场开箱、共同清点、检查外观</w:t>
            </w:r>
            <w:r>
              <w:rPr>
                <w:rFonts w:hint="eastAsia" w:ascii="方正仿宋_GBK" w:hAnsi="方正仿宋_GBK" w:eastAsia="方正仿宋_GBK" w:cs="方正仿宋_GBK"/>
                <w:sz w:val="24"/>
                <w:szCs w:val="24"/>
                <w:lang w:val="en-US" w:eastAsia="zh-CN"/>
              </w:rPr>
              <w:t>等</w:t>
            </w:r>
            <w:r>
              <w:rPr>
                <w:rFonts w:hint="eastAsia" w:ascii="方正仿宋_GBK" w:hAnsi="方正仿宋_GBK" w:eastAsia="方正仿宋_GBK" w:cs="方正仿宋_GBK"/>
                <w:sz w:val="24"/>
                <w:szCs w:val="24"/>
              </w:rPr>
              <w:t>进行</w:t>
            </w:r>
            <w:r>
              <w:rPr>
                <w:rFonts w:hint="eastAsia" w:ascii="方正仿宋_GBK" w:hAnsi="方正仿宋_GBK" w:eastAsia="方正仿宋_GBK" w:cs="方正仿宋_GBK"/>
                <w:sz w:val="24"/>
                <w:szCs w:val="24"/>
                <w:lang w:val="en-US" w:eastAsia="zh-CN"/>
              </w:rPr>
              <w:t>外观验收，</w:t>
            </w:r>
            <w:r>
              <w:rPr>
                <w:rFonts w:hint="eastAsia" w:ascii="方正仿宋_GBK" w:hAnsi="方正仿宋_GBK" w:eastAsia="方正仿宋_GBK" w:cs="方正仿宋_GBK"/>
                <w:sz w:val="24"/>
                <w:szCs w:val="24"/>
              </w:rPr>
              <w:t>双方签字确认。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2.供应商应保证货物到达采购人所在地时完好无损，</w:t>
            </w:r>
            <w:r>
              <w:rPr>
                <w:rFonts w:hint="eastAsia" w:ascii="方正仿宋_GBK" w:hAnsi="方正仿宋_GBK" w:eastAsia="方正仿宋_GBK" w:cs="方正仿宋_GBK"/>
                <w:sz w:val="24"/>
                <w:szCs w:val="24"/>
                <w:lang w:val="en-US" w:eastAsia="zh-CN"/>
              </w:rPr>
              <w:t>送货时</w:t>
            </w:r>
            <w:r>
              <w:rPr>
                <w:rFonts w:hint="eastAsia" w:ascii="方正仿宋_GBK" w:hAnsi="方正仿宋_GBK" w:eastAsia="方正仿宋_GBK" w:cs="方正仿宋_GBK"/>
                <w:b/>
                <w:bCs/>
                <w:sz w:val="24"/>
                <w:szCs w:val="24"/>
              </w:rPr>
              <w:t>生产日期应为</w:t>
            </w:r>
            <w:r>
              <w:rPr>
                <w:rFonts w:hint="eastAsia" w:ascii="方正仿宋_GBK" w:hAnsi="方正仿宋_GBK" w:eastAsia="方正仿宋_GBK" w:cs="方正仿宋_GBK"/>
                <w:b/>
                <w:bCs/>
                <w:sz w:val="24"/>
                <w:szCs w:val="24"/>
                <w:lang w:val="en-US" w:eastAsia="zh-CN"/>
              </w:rPr>
              <w:t>半</w:t>
            </w:r>
            <w:r>
              <w:rPr>
                <w:rFonts w:hint="eastAsia" w:ascii="方正仿宋_GBK" w:hAnsi="方正仿宋_GBK" w:eastAsia="方正仿宋_GBK" w:cs="方正仿宋_GBK"/>
                <w:b/>
                <w:bCs/>
                <w:sz w:val="24"/>
                <w:szCs w:val="24"/>
              </w:rPr>
              <w:t>年以内的</w:t>
            </w:r>
            <w:r>
              <w:rPr>
                <w:rFonts w:hint="eastAsia" w:ascii="方正仿宋_GBK" w:hAnsi="方正仿宋_GBK" w:eastAsia="方正仿宋_GBK" w:cs="方正仿宋_GBK"/>
                <w:b/>
                <w:bCs/>
                <w:sz w:val="24"/>
                <w:szCs w:val="24"/>
                <w:lang w:val="en-US" w:eastAsia="zh-CN"/>
              </w:rPr>
              <w:t>桶装水</w:t>
            </w:r>
            <w:r>
              <w:rPr>
                <w:rFonts w:hint="eastAsia" w:ascii="方正仿宋_GBK" w:hAnsi="方正仿宋_GBK" w:eastAsia="方正仿宋_GBK" w:cs="方正仿宋_GBK"/>
                <w:sz w:val="24"/>
                <w:szCs w:val="24"/>
              </w:rPr>
              <w:t>。如有缺漏、损坏</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变质</w:t>
            </w:r>
            <w:r>
              <w:rPr>
                <w:rFonts w:hint="eastAsia" w:ascii="方正仿宋_GBK" w:hAnsi="方正仿宋_GBK" w:eastAsia="方正仿宋_GBK" w:cs="方正仿宋_GBK"/>
                <w:sz w:val="24"/>
                <w:szCs w:val="24"/>
              </w:rPr>
              <w:t>，由供应商负责调换、补齐或赔偿。</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采购合同须与投标文件中的技术要求对照表相一致；若不满足相应要求，取消其中标资格。</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r>
              <w:rPr>
                <w:rFonts w:hint="eastAsia" w:ascii="方正仿宋_GBK" w:hAnsi="方正仿宋_GBK" w:eastAsia="方正仿宋_GBK" w:cs="方正仿宋_GBK"/>
                <w:sz w:val="24"/>
                <w:szCs w:val="24"/>
                <w:lang w:val="en-US" w:eastAsia="zh-CN"/>
              </w:rPr>
              <w:t>产品</w:t>
            </w:r>
            <w:r>
              <w:rPr>
                <w:rFonts w:hint="eastAsia" w:ascii="方正仿宋_GBK" w:hAnsi="方正仿宋_GBK" w:eastAsia="方正仿宋_GBK" w:cs="方正仿宋_GBK"/>
                <w:sz w:val="24"/>
                <w:szCs w:val="24"/>
              </w:rPr>
              <w:t>品种、规格、数量、技术参数以及商品品牌、生产厂家等与投标文件和采购合同一致，性能指标达到规定的标准。</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5.产品</w:t>
            </w:r>
            <w:r>
              <w:rPr>
                <w:rFonts w:hint="eastAsia" w:ascii="方正仿宋_GBK" w:hAnsi="方正仿宋_GBK" w:eastAsia="方正仿宋_GBK" w:cs="方正仿宋_GBK"/>
                <w:sz w:val="24"/>
                <w:szCs w:val="24"/>
              </w:rPr>
              <w:t>技术资料、装箱单、合格证</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检测报告</w:t>
            </w:r>
            <w:r>
              <w:rPr>
                <w:rFonts w:hint="eastAsia" w:ascii="方正仿宋_GBK" w:hAnsi="方正仿宋_GBK" w:eastAsia="方正仿宋_GBK" w:cs="方正仿宋_GBK"/>
                <w:sz w:val="24"/>
                <w:szCs w:val="24"/>
              </w:rPr>
              <w:t>等资料齐全。</w:t>
            </w:r>
          </w:p>
          <w:p>
            <w:pPr>
              <w:spacing w:line="500" w:lineRule="exact"/>
              <w:ind w:firstLine="480" w:firstLineChars="2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6.使用中采购人发现疑似产品质量问题可通知第三方机构进行检测，供应商应承担鉴定费用。</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7.</w:t>
            </w:r>
            <w:r>
              <w:rPr>
                <w:rFonts w:hint="eastAsia" w:ascii="方正仿宋_GBK" w:hAnsi="方正仿宋_GBK" w:eastAsia="方正仿宋_GBK" w:cs="方正仿宋_GBK"/>
                <w:sz w:val="24"/>
                <w:szCs w:val="24"/>
              </w:rPr>
              <w:t>采购人需要制造商对成交供应商交付的产品（包括质量、技术参数等）进行确认的，成交供应商须提供制造商加盖公章的书面意见。</w:t>
            </w:r>
          </w:p>
          <w:p>
            <w:pPr>
              <w:pStyle w:val="4"/>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8. 采购人可随机抽取3批次产品送国家认可的质量检测机构检测，产生的费用由供应商承担。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t>（六）质量保</w:t>
            </w:r>
            <w:r>
              <w:rPr>
                <w:rFonts w:hint="eastAsia" w:ascii="方正仿宋_GBK" w:hAnsi="方正仿宋_GBK" w:eastAsia="方正仿宋_GBK" w:cs="方正仿宋_GBK"/>
                <w:sz w:val="24"/>
                <w:szCs w:val="24"/>
              </w:rPr>
              <w:t>证及售后服务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1.质量保证</w:t>
            </w:r>
          </w:p>
          <w:p>
            <w:pPr>
              <w:spacing w:line="500" w:lineRule="exact"/>
              <w:ind w:firstLine="480" w:firstLineChars="200"/>
              <w:rPr>
                <w:rFonts w:hint="default"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rPr>
              <w:t>1.1自验收合格之日起，</w:t>
            </w:r>
            <w:r>
              <w:rPr>
                <w:rFonts w:hint="eastAsia" w:ascii="方正仿宋_GBK" w:hAnsi="方正仿宋_GBK" w:eastAsia="方正仿宋_GBK" w:cs="方正仿宋_GBK"/>
                <w:sz w:val="24"/>
                <w:szCs w:val="24"/>
                <w:lang w:val="en-US" w:eastAsia="zh-CN"/>
              </w:rPr>
              <w:t>桶装水有效期内发现任何质量问题，采购人有权要求供应商整改和退还，如面料变色、脱色、破损等。饮水机应定时检测维修、清洗消毒，确保采购人饮水安全和用电安全。</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1.2采购货物属于国家规定“三包”范围的，其产品质量保证期不得低于“三包”规定。</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1.3供应商的质量保证期承诺优于国家“三包”规定的，按供应商实际承诺执行。</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1.4采购货物由产品制造商负责标准售后服务，应当在响应文件中予以明确说明，并提供相关文件。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2.1质保期内服务要求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2.1.1电话咨询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成交供应商或制造商应当为采购人提供技术援助电话，在30分钟内响应解答采购人在使用中遇到的问题，及时为采购人提出解决问题的建议。</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2.1.2现场响应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采购人遇到使用及技术问题，电话咨询不能解决的，成交供应商或制造商应在</w:t>
            </w:r>
            <w:r>
              <w:rPr>
                <w:rFonts w:hint="eastAsia" w:ascii="方正仿宋_GBK" w:hAnsi="方正仿宋_GBK" w:eastAsia="方正仿宋_GBK" w:cs="方正仿宋_GBK"/>
                <w:sz w:val="24"/>
                <w:szCs w:val="24"/>
                <w:lang w:val="en-US" w:eastAsia="zh-CN"/>
              </w:rPr>
              <w:t>4小时</w:t>
            </w:r>
            <w:r>
              <w:rPr>
                <w:rFonts w:hint="eastAsia" w:ascii="方正仿宋_GBK" w:hAnsi="方正仿宋_GBK" w:eastAsia="方正仿宋_GBK" w:cs="方正仿宋_GBK"/>
                <w:sz w:val="24"/>
                <w:szCs w:val="24"/>
              </w:rPr>
              <w:t>内派专业技术人员到达现场进行</w:t>
            </w:r>
            <w:r>
              <w:rPr>
                <w:rFonts w:hint="eastAsia" w:ascii="方正仿宋_GBK" w:hAnsi="方正仿宋_GBK" w:eastAsia="方正仿宋_GBK" w:cs="方正仿宋_GBK"/>
                <w:sz w:val="24"/>
                <w:szCs w:val="24"/>
                <w:lang w:val="en-US" w:eastAsia="zh-CN"/>
              </w:rPr>
              <w:t>处理</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5小时不能解决问题的应提供备用产品。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2.1.3技术升级</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在质保期内，如果成交供应商或制造商的产品免费技术升级，成交供应商应及时通知采购人，如采购人有相应要求，成交供应商或制造商应对采购人进行免费升级服务。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2.2质保期满服务要求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质保期满后成交供应商或制造商应同样提供免费电话咨询服务；承诺提供产品上门维修服务时只收取维修配件费，不收其他费用。常用的、容易损坏的维修配件的价格清单须在响应文件中列出。</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（七）履约保证金</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无</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（八）</w:t>
            </w:r>
            <w:bookmarkStart w:id="1" w:name="_Toc3955"/>
            <w:r>
              <w:rPr>
                <w:rFonts w:hint="eastAsia" w:ascii="方正仿宋_GBK" w:hAnsi="方正仿宋_GBK" w:eastAsia="方正仿宋_GBK" w:cs="方正仿宋_GBK"/>
                <w:sz w:val="24"/>
                <w:szCs w:val="24"/>
                <w:lang w:val="en-US" w:eastAsia="zh-CN"/>
              </w:rPr>
              <w:t>踏勘</w:t>
            </w:r>
            <w:bookmarkEnd w:id="1"/>
            <w:r>
              <w:rPr>
                <w:rFonts w:hint="eastAsia" w:ascii="方正仿宋_GBK" w:hAnsi="方正仿宋_GBK" w:eastAsia="方正仿宋_GBK" w:cs="方正仿宋_GBK"/>
                <w:sz w:val="24"/>
                <w:szCs w:val="24"/>
                <w:lang w:val="en-US" w:eastAsia="zh-CN"/>
              </w:rPr>
              <w:t>现场</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供应商自行组织踏勘现场，现场踏勘应充分了解项目位置、</w:t>
            </w:r>
            <w:r>
              <w:rPr>
                <w:rFonts w:hint="eastAsia" w:ascii="方正仿宋_GBK" w:hAnsi="方正仿宋_GBK" w:eastAsia="方正仿宋_GBK" w:cs="方正仿宋_GBK"/>
                <w:sz w:val="24"/>
                <w:szCs w:val="24"/>
                <w:lang w:val="en-US" w:eastAsia="zh-CN"/>
              </w:rPr>
              <w:t>运行</w:t>
            </w:r>
            <w:r>
              <w:rPr>
                <w:rFonts w:hint="eastAsia" w:ascii="方正仿宋_GBK" w:hAnsi="方正仿宋_GBK" w:eastAsia="方正仿宋_GBK" w:cs="方正仿宋_GBK"/>
                <w:sz w:val="24"/>
                <w:szCs w:val="24"/>
              </w:rPr>
              <w:t>情况、</w:t>
            </w:r>
            <w:r>
              <w:rPr>
                <w:rFonts w:hint="eastAsia" w:ascii="方正仿宋_GBK" w:hAnsi="方正仿宋_GBK" w:eastAsia="方正仿宋_GBK" w:cs="方正仿宋_GBK"/>
                <w:sz w:val="24"/>
                <w:szCs w:val="24"/>
                <w:lang w:val="en-US" w:eastAsia="zh-CN"/>
              </w:rPr>
              <w:t>周边环境、</w:t>
            </w:r>
            <w:r>
              <w:rPr>
                <w:rFonts w:hint="eastAsia" w:ascii="方正仿宋_GBK" w:hAnsi="方正仿宋_GBK" w:eastAsia="方正仿宋_GBK" w:cs="方正仿宋_GBK"/>
                <w:sz w:val="24"/>
                <w:szCs w:val="24"/>
              </w:rPr>
              <w:t>装卸限制及任何</w:t>
            </w:r>
            <w:r>
              <w:rPr>
                <w:rFonts w:hint="eastAsia" w:ascii="方正仿宋_GBK" w:hAnsi="方正仿宋_GBK" w:eastAsia="方正仿宋_GBK" w:cs="方正仿宋_GBK"/>
                <w:sz w:val="24"/>
                <w:szCs w:val="24"/>
                <w:lang w:eastAsia="zh-CN"/>
              </w:rPr>
              <w:t>其他</w:t>
            </w:r>
            <w:r>
              <w:rPr>
                <w:rFonts w:hint="eastAsia" w:ascii="方正仿宋_GBK" w:hAnsi="方正仿宋_GBK" w:eastAsia="方正仿宋_GBK" w:cs="方正仿宋_GBK"/>
                <w:sz w:val="24"/>
                <w:szCs w:val="24"/>
              </w:rPr>
              <w:t>足以影响磋商报价的情况，任何因忽视或误解项目情况而导致的服务不达标或服务期延长的，供应商自行承担相关责任</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踏勘现场时发生的安全责任事故由供应商自行承担责任，项目实施时不得影响周边居民的正常生活</w:t>
            </w:r>
            <w:r>
              <w:rPr>
                <w:rFonts w:hint="eastAsia" w:ascii="方正仿宋_GBK" w:hAnsi="方正仿宋_GBK" w:eastAsia="方正仿宋_GBK" w:cs="方正仿宋_GBK"/>
                <w:sz w:val="24"/>
                <w:szCs w:val="24"/>
              </w:rPr>
              <w:t>。</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九）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所投产品须为全新正规合格产品，后期发现或鉴定为假冒伪劣产品或残次品，供应商应承担所有费用并按照产品销售金额10倍进行赔偿，因产品质量问题导致的损害由供应商承担全部责任。</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（十）中选标准：本项目在满足采购人技术和商务要求的情况下采用</w:t>
            </w:r>
            <w:r>
              <w:rPr>
                <w:rFonts w:hint="eastAsia" w:ascii="方正仿宋_GBK" w:hAnsi="方正仿宋_GBK" w:eastAsia="方正仿宋_GBK" w:cs="方正仿宋_GBK"/>
                <w:b/>
                <w:bCs/>
                <w:sz w:val="24"/>
                <w:szCs w:val="24"/>
                <w:lang w:val="en-US" w:eastAsia="zh-CN"/>
              </w:rPr>
              <w:t>最低评标价法中选</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b/>
                <w:bCs/>
                <w:sz w:val="24"/>
                <w:szCs w:val="24"/>
                <w:lang w:val="en-US" w:eastAsia="zh-CN"/>
              </w:rPr>
              <w:t>如超出投标报价、未在规定的时间内上交资料（采购人以收到的时间为准）及资料不齐全的为无效报价。</w:t>
            </w:r>
          </w:p>
          <w:p>
            <w:pPr>
              <w:numPr>
                <w:ilvl w:val="0"/>
                <w:numId w:val="0"/>
              </w:numPr>
              <w:spacing w:line="5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十一</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其他要求：1.</w:t>
            </w:r>
            <w:r>
              <w:rPr>
                <w:rFonts w:hint="eastAsia" w:ascii="方正仿宋_GBK" w:hAnsi="方正仿宋_GBK" w:eastAsia="方正仿宋_GBK" w:cs="方正仿宋_GBK"/>
                <w:sz w:val="24"/>
                <w:szCs w:val="24"/>
              </w:rPr>
              <w:t>本次采购过程中如果产生专家评审费将由成交供应商承担；</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中标后需20日内签订采购合同和购销廉政协议，成交供应商拒绝签订或履行采购合同，采购人将向采购平台管理部门书面投诉，同时纳入采购人黑名单进行管理</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其他未尽事宜由供需双方在采购合同中详细约定</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本项目不接受联合体参与投标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6"/>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widowControl/>
              <w:spacing w:line="360" w:lineRule="auto"/>
              <w:jc w:val="left"/>
              <w:rPr>
                <w:rFonts w:hint="eastAsia" w:ascii="宋体" w:hAnsi="宋体" w:eastAsia="宋体" w:cs="宋体"/>
                <w:b/>
                <w:bCs/>
                <w:color w:val="555555"/>
                <w:kern w:val="0"/>
                <w:sz w:val="32"/>
                <w:szCs w:val="32"/>
                <w:lang w:val="en-US" w:eastAsia="zh-CN" w:bidi="ar"/>
              </w:rPr>
            </w:pPr>
            <w:r>
              <w:rPr>
                <w:rFonts w:hint="eastAsia" w:ascii="仿宋" w:hAnsi="仿宋" w:eastAsia="仿宋" w:cs="仿宋"/>
                <w:b/>
                <w:bCs/>
                <w:color w:val="555555"/>
                <w:kern w:val="0"/>
                <w:sz w:val="32"/>
                <w:szCs w:val="32"/>
                <w:lang w:bidi="ar"/>
              </w:rPr>
              <w:t xml:space="preserve">二、供应商响应情况 </w:t>
            </w:r>
            <w:r>
              <w:rPr>
                <w:rFonts w:hint="eastAsia" w:ascii="宋体" w:hAnsi="宋体" w:eastAsia="宋体" w:cs="宋体"/>
                <w:b/>
                <w:bCs/>
                <w:color w:val="555555"/>
                <w:kern w:val="0"/>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0" w:type="auto"/>
            <w:gridSpan w:val="6"/>
            <w:vAlign w:val="center"/>
          </w:tcPr>
          <w:tbl>
            <w:tblPr>
              <w:tblStyle w:val="13"/>
              <w:tblpPr w:leftFromText="180" w:rightFromText="180" w:vertAnchor="text" w:horzAnchor="page" w:tblpX="151" w:tblpY="355"/>
              <w:tblOverlap w:val="never"/>
              <w:tblW w:w="10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772"/>
              <w:gridCol w:w="1200"/>
              <w:gridCol w:w="1119"/>
              <w:gridCol w:w="1159"/>
              <w:gridCol w:w="1704"/>
              <w:gridCol w:w="1486"/>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center"/>
                    <w:rPr>
                      <w:rFonts w:ascii="仿宋" w:hAnsi="仿宋" w:eastAsia="仿宋" w:cs="仿宋"/>
                      <w:b/>
                      <w:bCs/>
                      <w:color w:val="555555"/>
                      <w:kern w:val="0"/>
                      <w:sz w:val="24"/>
                      <w:lang w:bidi="ar"/>
                    </w:rPr>
                  </w:pPr>
                  <w:r>
                    <w:rPr>
                      <w:rFonts w:hint="eastAsia" w:ascii="仿宋" w:hAnsi="仿宋" w:eastAsia="仿宋" w:cs="仿宋"/>
                      <w:b/>
                      <w:bCs/>
                      <w:color w:val="555555"/>
                      <w:kern w:val="0"/>
                      <w:sz w:val="24"/>
                      <w:lang w:bidi="ar"/>
                    </w:rPr>
                    <w:t>序号</w:t>
                  </w:r>
                </w:p>
              </w:tc>
              <w:tc>
                <w:tcPr>
                  <w:tcW w:w="1772" w:type="dxa"/>
                </w:tcPr>
                <w:p>
                  <w:pPr>
                    <w:widowControl/>
                    <w:spacing w:line="360" w:lineRule="auto"/>
                    <w:jc w:val="center"/>
                    <w:rPr>
                      <w:rFonts w:ascii="仿宋" w:hAnsi="仿宋" w:eastAsia="仿宋" w:cs="仿宋"/>
                      <w:b/>
                      <w:bCs/>
                      <w:color w:val="555555"/>
                      <w:kern w:val="0"/>
                      <w:sz w:val="24"/>
                      <w:lang w:bidi="ar"/>
                    </w:rPr>
                  </w:pPr>
                  <w:r>
                    <w:rPr>
                      <w:rFonts w:hint="eastAsia" w:ascii="仿宋" w:hAnsi="仿宋" w:eastAsia="仿宋" w:cs="仿宋"/>
                      <w:b/>
                      <w:bCs/>
                      <w:color w:val="555555"/>
                      <w:kern w:val="0"/>
                      <w:sz w:val="24"/>
                      <w:lang w:bidi="ar"/>
                    </w:rPr>
                    <w:t>名称</w:t>
                  </w:r>
                </w:p>
              </w:tc>
              <w:tc>
                <w:tcPr>
                  <w:tcW w:w="1200" w:type="dxa"/>
                </w:tcPr>
                <w:p>
                  <w:pPr>
                    <w:widowControl/>
                    <w:spacing w:line="360" w:lineRule="auto"/>
                    <w:jc w:val="center"/>
                    <w:rPr>
                      <w:rFonts w:ascii="仿宋" w:hAnsi="仿宋" w:eastAsia="仿宋" w:cs="仿宋"/>
                      <w:b/>
                      <w:bCs/>
                      <w:color w:val="555555"/>
                      <w:spacing w:val="-34"/>
                      <w:kern w:val="0"/>
                      <w:sz w:val="24"/>
                      <w:lang w:bidi="ar"/>
                    </w:rPr>
                  </w:pPr>
                  <w:r>
                    <w:rPr>
                      <w:rFonts w:hint="eastAsia" w:ascii="仿宋" w:hAnsi="仿宋" w:eastAsia="仿宋" w:cs="仿宋"/>
                      <w:b/>
                      <w:bCs/>
                      <w:color w:val="555555"/>
                      <w:spacing w:val="-34"/>
                      <w:kern w:val="0"/>
                      <w:sz w:val="24"/>
                      <w:lang w:bidi="ar"/>
                    </w:rPr>
                    <w:t>技术参数是否完全响应</w:t>
                  </w:r>
                </w:p>
              </w:tc>
              <w:tc>
                <w:tcPr>
                  <w:tcW w:w="1119" w:type="dxa"/>
                </w:tcPr>
                <w:p>
                  <w:pPr>
                    <w:widowControl/>
                    <w:spacing w:line="360" w:lineRule="auto"/>
                    <w:jc w:val="center"/>
                    <w:rPr>
                      <w:rFonts w:ascii="仿宋" w:hAnsi="仿宋" w:eastAsia="仿宋" w:cs="仿宋"/>
                      <w:b/>
                      <w:bCs/>
                      <w:color w:val="555555"/>
                      <w:spacing w:val="-34"/>
                      <w:kern w:val="0"/>
                      <w:sz w:val="24"/>
                      <w:lang w:bidi="ar"/>
                    </w:rPr>
                  </w:pPr>
                  <w:r>
                    <w:rPr>
                      <w:rFonts w:hint="eastAsia" w:ascii="仿宋" w:hAnsi="仿宋" w:eastAsia="仿宋" w:cs="仿宋"/>
                      <w:b/>
                      <w:bCs/>
                      <w:color w:val="555555"/>
                      <w:spacing w:val="-34"/>
                      <w:kern w:val="0"/>
                      <w:sz w:val="24"/>
                      <w:lang w:bidi="ar"/>
                    </w:rPr>
                    <w:t>商务要求是否完全响应</w:t>
                  </w:r>
                </w:p>
              </w:tc>
              <w:tc>
                <w:tcPr>
                  <w:tcW w:w="1159" w:type="dxa"/>
                </w:tcPr>
                <w:p>
                  <w:pPr>
                    <w:widowControl/>
                    <w:spacing w:line="360" w:lineRule="auto"/>
                    <w:jc w:val="center"/>
                    <w:rPr>
                      <w:rFonts w:ascii="仿宋" w:hAnsi="仿宋" w:eastAsia="仿宋" w:cs="仿宋"/>
                      <w:b/>
                      <w:bCs/>
                      <w:color w:val="555555"/>
                      <w:spacing w:val="-34"/>
                      <w:kern w:val="0"/>
                      <w:sz w:val="24"/>
                      <w:lang w:bidi="ar"/>
                    </w:rPr>
                  </w:pPr>
                  <w:r>
                    <w:rPr>
                      <w:rFonts w:hint="eastAsia" w:ascii="仿宋" w:hAnsi="仿宋" w:eastAsia="仿宋" w:cs="仿宋"/>
                      <w:b/>
                      <w:bCs/>
                      <w:color w:val="555555"/>
                      <w:spacing w:val="-34"/>
                      <w:kern w:val="0"/>
                      <w:sz w:val="24"/>
                      <w:lang w:bidi="ar"/>
                    </w:rPr>
                    <w:t>产品品牌</w:t>
                  </w:r>
                </w:p>
              </w:tc>
              <w:tc>
                <w:tcPr>
                  <w:tcW w:w="1704" w:type="dxa"/>
                </w:tcPr>
                <w:p>
                  <w:pPr>
                    <w:widowControl/>
                    <w:spacing w:line="360" w:lineRule="auto"/>
                    <w:ind w:right="-8"/>
                    <w:jc w:val="center"/>
                    <w:rPr>
                      <w:rFonts w:ascii="仿宋" w:hAnsi="仿宋" w:eastAsia="仿宋" w:cs="仿宋"/>
                      <w:b/>
                      <w:bCs/>
                      <w:color w:val="555555"/>
                      <w:spacing w:val="-34"/>
                      <w:kern w:val="0"/>
                      <w:sz w:val="24"/>
                      <w:lang w:bidi="ar"/>
                    </w:rPr>
                  </w:pPr>
                  <w:r>
                    <w:rPr>
                      <w:rFonts w:hint="eastAsia" w:ascii="仿宋" w:hAnsi="仿宋" w:eastAsia="仿宋" w:cs="仿宋"/>
                      <w:b/>
                      <w:bCs/>
                      <w:color w:val="555555"/>
                      <w:spacing w:val="-34"/>
                      <w:kern w:val="0"/>
                      <w:sz w:val="24"/>
                      <w:lang w:bidi="ar"/>
                    </w:rPr>
                    <w:t>未用过的产品是否提供试用</w:t>
                  </w:r>
                </w:p>
              </w:tc>
              <w:tc>
                <w:tcPr>
                  <w:tcW w:w="1486" w:type="dxa"/>
                </w:tcPr>
                <w:p>
                  <w:pPr>
                    <w:widowControl/>
                    <w:spacing w:line="360" w:lineRule="auto"/>
                    <w:jc w:val="center"/>
                    <w:rPr>
                      <w:rFonts w:ascii="仿宋" w:hAnsi="仿宋" w:eastAsia="仿宋" w:cs="仿宋"/>
                      <w:b/>
                      <w:bCs/>
                      <w:color w:val="555555"/>
                      <w:spacing w:val="-34"/>
                      <w:kern w:val="0"/>
                      <w:sz w:val="24"/>
                      <w:lang w:bidi="ar"/>
                    </w:rPr>
                  </w:pPr>
                  <w:r>
                    <w:rPr>
                      <w:rFonts w:hint="eastAsia" w:ascii="仿宋" w:hAnsi="仿宋" w:eastAsia="仿宋" w:cs="仿宋"/>
                      <w:b/>
                      <w:bCs/>
                      <w:color w:val="555555"/>
                      <w:spacing w:val="-34"/>
                      <w:kern w:val="0"/>
                      <w:sz w:val="24"/>
                      <w:lang w:bidi="ar"/>
                    </w:rPr>
                    <w:t>产品质量</w:t>
                  </w:r>
                  <w:r>
                    <w:rPr>
                      <w:rFonts w:hint="eastAsia" w:ascii="仿宋" w:hAnsi="仿宋" w:eastAsia="仿宋" w:cs="仿宋"/>
                      <w:b/>
                      <w:bCs/>
                      <w:color w:val="555555"/>
                      <w:spacing w:val="-34"/>
                      <w:kern w:val="0"/>
                      <w:sz w:val="24"/>
                      <w:lang w:val="en-US" w:eastAsia="zh-CN" w:bidi="ar"/>
                    </w:rPr>
                    <w:t>有效</w:t>
                  </w:r>
                  <w:r>
                    <w:rPr>
                      <w:rFonts w:hint="eastAsia" w:ascii="仿宋" w:hAnsi="仿宋" w:eastAsia="仿宋" w:cs="仿宋"/>
                      <w:b/>
                      <w:bCs/>
                      <w:color w:val="555555"/>
                      <w:spacing w:val="-34"/>
                      <w:kern w:val="0"/>
                      <w:sz w:val="24"/>
                      <w:lang w:bidi="ar"/>
                    </w:rPr>
                    <w:t>期（年）</w:t>
                  </w:r>
                </w:p>
              </w:tc>
              <w:tc>
                <w:tcPr>
                  <w:tcW w:w="1010" w:type="dxa"/>
                </w:tcPr>
                <w:p>
                  <w:pPr>
                    <w:widowControl/>
                    <w:spacing w:line="360" w:lineRule="auto"/>
                    <w:jc w:val="center"/>
                    <w:rPr>
                      <w:rFonts w:ascii="仿宋" w:hAnsi="仿宋" w:eastAsia="仿宋" w:cs="仿宋"/>
                      <w:b/>
                      <w:bCs/>
                      <w:color w:val="555555"/>
                      <w:spacing w:val="-34"/>
                      <w:kern w:val="0"/>
                      <w:sz w:val="24"/>
                      <w:lang w:bidi="ar"/>
                    </w:rPr>
                  </w:pPr>
                  <w:r>
                    <w:rPr>
                      <w:rFonts w:hint="eastAsia" w:ascii="仿宋" w:hAnsi="仿宋" w:eastAsia="仿宋" w:cs="仿宋"/>
                      <w:b/>
                      <w:bCs/>
                      <w:color w:val="555555"/>
                      <w:spacing w:val="-34"/>
                      <w:kern w:val="0"/>
                      <w:sz w:val="24"/>
                      <w:lang w:bidi="ar"/>
                    </w:rPr>
                    <w:t>产品</w:t>
                  </w:r>
                  <w:r>
                    <w:rPr>
                      <w:rFonts w:hint="eastAsia" w:ascii="仿宋" w:hAnsi="仿宋" w:eastAsia="仿宋" w:cs="仿宋"/>
                      <w:b/>
                      <w:bCs/>
                      <w:color w:val="555555"/>
                      <w:spacing w:val="-34"/>
                      <w:kern w:val="0"/>
                      <w:sz w:val="24"/>
                      <w:lang w:val="en-US" w:eastAsia="zh-CN" w:bidi="ar"/>
                    </w:rPr>
                    <w:t>报价（</w:t>
                  </w:r>
                  <w:r>
                    <w:rPr>
                      <w:rFonts w:hint="eastAsia" w:ascii="仿宋" w:hAnsi="仿宋" w:eastAsia="仿宋" w:cs="仿宋"/>
                      <w:b/>
                      <w:bCs/>
                      <w:color w:val="555555"/>
                      <w:spacing w:val="-34"/>
                      <w:kern w:val="0"/>
                      <w:sz w:val="24"/>
                      <w:lang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919" w:type="dxa"/>
                </w:tcPr>
                <w:p>
                  <w:pPr>
                    <w:widowControl/>
                    <w:spacing w:line="360" w:lineRule="auto"/>
                    <w:jc w:val="left"/>
                    <w:rPr>
                      <w:rFonts w:ascii="仿宋" w:hAnsi="仿宋" w:eastAsia="仿宋" w:cs="仿宋"/>
                      <w:b/>
                      <w:bCs/>
                      <w:color w:val="555555"/>
                      <w:kern w:val="0"/>
                      <w:sz w:val="24"/>
                      <w:lang w:bidi="ar"/>
                    </w:rPr>
                  </w:pPr>
                  <w:r>
                    <w:rPr>
                      <w:rFonts w:hint="eastAsia" w:ascii="仿宋" w:hAnsi="仿宋" w:eastAsia="仿宋" w:cs="仿宋"/>
                      <w:b/>
                      <w:bCs/>
                      <w:color w:val="555555"/>
                      <w:kern w:val="0"/>
                      <w:sz w:val="24"/>
                      <w:lang w:bidi="ar"/>
                    </w:rPr>
                    <w:t>1</w:t>
                  </w:r>
                </w:p>
              </w:tc>
              <w:tc>
                <w:tcPr>
                  <w:tcW w:w="1772" w:type="dxa"/>
                </w:tcPr>
                <w:p>
                  <w:pPr>
                    <w:widowControl/>
                    <w:spacing w:line="360" w:lineRule="auto"/>
                    <w:jc w:val="left"/>
                    <w:rPr>
                      <w:rFonts w:hint="eastAsia" w:ascii="仿宋" w:hAnsi="仿宋" w:eastAsia="仿宋" w:cs="仿宋"/>
                      <w:b/>
                      <w:bCs/>
                      <w:color w:val="555555"/>
                      <w:kern w:val="0"/>
                      <w:sz w:val="24"/>
                      <w:lang w:eastAsia="zh-CN" w:bidi="ar"/>
                    </w:rPr>
                  </w:pPr>
                  <w:r>
                    <w:rPr>
                      <w:rFonts w:hint="eastAsia" w:ascii="仿宋" w:hAnsi="仿宋" w:eastAsia="仿宋" w:cs="仿宋"/>
                      <w:b/>
                      <w:bCs/>
                      <w:color w:val="555555"/>
                      <w:kern w:val="0"/>
                      <w:sz w:val="24"/>
                      <w:lang w:val="en-US" w:eastAsia="zh-CN" w:bidi="ar"/>
                    </w:rPr>
                    <w:t>桶装水</w:t>
                  </w:r>
                </w:p>
              </w:tc>
              <w:tc>
                <w:tcPr>
                  <w:tcW w:w="1200" w:type="dxa"/>
                </w:tcPr>
                <w:p>
                  <w:pPr>
                    <w:widowControl/>
                    <w:spacing w:line="360" w:lineRule="auto"/>
                    <w:jc w:val="left"/>
                    <w:rPr>
                      <w:rFonts w:ascii="仿宋" w:hAnsi="仿宋" w:eastAsia="仿宋" w:cs="仿宋"/>
                      <w:b/>
                      <w:bCs/>
                      <w:color w:val="555555"/>
                      <w:kern w:val="0"/>
                      <w:sz w:val="32"/>
                      <w:szCs w:val="32"/>
                      <w:lang w:bidi="ar"/>
                    </w:rPr>
                  </w:pPr>
                </w:p>
              </w:tc>
              <w:tc>
                <w:tcPr>
                  <w:tcW w:w="1119" w:type="dxa"/>
                </w:tcPr>
                <w:p>
                  <w:pPr>
                    <w:widowControl/>
                    <w:spacing w:line="360" w:lineRule="auto"/>
                    <w:jc w:val="left"/>
                    <w:rPr>
                      <w:rFonts w:ascii="仿宋" w:hAnsi="仿宋" w:eastAsia="仿宋" w:cs="仿宋"/>
                      <w:b/>
                      <w:bCs/>
                      <w:color w:val="555555"/>
                      <w:kern w:val="0"/>
                      <w:sz w:val="32"/>
                      <w:szCs w:val="32"/>
                      <w:lang w:bidi="ar"/>
                    </w:rPr>
                  </w:pPr>
                </w:p>
              </w:tc>
              <w:tc>
                <w:tcPr>
                  <w:tcW w:w="1159" w:type="dxa"/>
                </w:tcPr>
                <w:p>
                  <w:pPr>
                    <w:widowControl/>
                    <w:spacing w:line="360" w:lineRule="auto"/>
                    <w:jc w:val="left"/>
                    <w:rPr>
                      <w:rFonts w:ascii="仿宋" w:hAnsi="仿宋" w:eastAsia="仿宋" w:cs="仿宋"/>
                      <w:b/>
                      <w:bCs/>
                      <w:color w:val="555555"/>
                      <w:kern w:val="0"/>
                      <w:sz w:val="32"/>
                      <w:szCs w:val="32"/>
                      <w:lang w:bidi="ar"/>
                    </w:rPr>
                  </w:pPr>
                </w:p>
              </w:tc>
              <w:tc>
                <w:tcPr>
                  <w:tcW w:w="1704" w:type="dxa"/>
                </w:tcPr>
                <w:p>
                  <w:pPr>
                    <w:widowControl/>
                    <w:spacing w:line="360" w:lineRule="auto"/>
                    <w:ind w:right="428" w:rightChars="204"/>
                    <w:jc w:val="left"/>
                    <w:rPr>
                      <w:rFonts w:ascii="仿宋" w:hAnsi="仿宋" w:eastAsia="仿宋" w:cs="仿宋"/>
                      <w:b/>
                      <w:bCs/>
                      <w:color w:val="555555"/>
                      <w:kern w:val="0"/>
                      <w:sz w:val="32"/>
                      <w:szCs w:val="32"/>
                      <w:lang w:bidi="ar"/>
                    </w:rPr>
                  </w:pPr>
                </w:p>
              </w:tc>
              <w:tc>
                <w:tcPr>
                  <w:tcW w:w="1486" w:type="dxa"/>
                </w:tcPr>
                <w:p>
                  <w:pPr>
                    <w:widowControl/>
                    <w:spacing w:line="360" w:lineRule="auto"/>
                    <w:jc w:val="left"/>
                    <w:rPr>
                      <w:rFonts w:ascii="仿宋" w:hAnsi="仿宋" w:eastAsia="仿宋" w:cs="仿宋"/>
                      <w:b/>
                      <w:bCs/>
                      <w:color w:val="555555"/>
                      <w:kern w:val="0"/>
                      <w:sz w:val="32"/>
                      <w:szCs w:val="32"/>
                      <w:lang w:bidi="ar"/>
                    </w:rPr>
                  </w:pPr>
                </w:p>
              </w:tc>
              <w:tc>
                <w:tcPr>
                  <w:tcW w:w="1010" w:type="dxa"/>
                </w:tcPr>
                <w:p>
                  <w:pPr>
                    <w:widowControl/>
                    <w:spacing w:line="360" w:lineRule="auto"/>
                    <w:jc w:val="left"/>
                    <w:rPr>
                      <w:rFonts w:ascii="仿宋" w:hAnsi="仿宋" w:eastAsia="仿宋" w:cs="仿宋"/>
                      <w:b/>
                      <w:bCs/>
                      <w:color w:val="555555"/>
                      <w:kern w:val="0"/>
                      <w:sz w:val="32"/>
                      <w:szCs w:val="32"/>
                      <w:lang w:bidi="ar"/>
                    </w:rPr>
                  </w:pPr>
                </w:p>
              </w:tc>
            </w:tr>
          </w:tbl>
          <w:p>
            <w:pPr>
              <w:widowControl/>
              <w:spacing w:line="360" w:lineRule="auto"/>
              <w:jc w:val="left"/>
              <w:rPr>
                <w:rFonts w:hint="eastAsia" w:ascii="仿宋" w:hAnsi="仿宋" w:eastAsia="仿宋" w:cs="仿宋"/>
                <w:b/>
                <w:bCs/>
                <w:color w:val="555555"/>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0" w:type="auto"/>
            <w:gridSpan w:val="6"/>
            <w:vAlign w:val="center"/>
          </w:tcPr>
          <w:p>
            <w:pPr>
              <w:pStyle w:val="9"/>
              <w:widowControl/>
              <w:spacing w:before="0" w:beforeAutospacing="0" w:after="0" w:afterAutospacing="0" w:line="380" w:lineRule="exact"/>
              <w:rPr>
                <w:rFonts w:ascii="仿宋" w:hAnsi="仿宋" w:eastAsia="仿宋" w:cs="仿宋"/>
                <w:b/>
                <w:bCs/>
                <w:color w:val="555555"/>
                <w:lang w:bidi="ar"/>
              </w:rPr>
            </w:pPr>
            <w:r>
              <w:rPr>
                <w:rFonts w:hint="eastAsia" w:ascii="仿宋" w:hAnsi="仿宋" w:eastAsia="仿宋" w:cs="仿宋"/>
                <w:b/>
                <w:bCs/>
                <w:color w:val="555555"/>
                <w:lang w:bidi="ar"/>
              </w:rPr>
              <w:t>注意：技术参数请在投标产品相关资料中提供佐证材料。</w:t>
            </w:r>
          </w:p>
          <w:p>
            <w:pPr>
              <w:pStyle w:val="9"/>
              <w:widowControl/>
              <w:wordWrap w:val="0"/>
              <w:spacing w:before="0" w:beforeAutospacing="0" w:after="0" w:afterAutospacing="0" w:line="380" w:lineRule="exact"/>
              <w:jc w:val="right"/>
              <w:rPr>
                <w:rFonts w:ascii="仿宋" w:hAnsi="仿宋" w:eastAsia="仿宋" w:cs="仿宋"/>
                <w:b/>
                <w:bCs/>
                <w:color w:val="555555"/>
                <w:lang w:bidi="ar"/>
              </w:rPr>
            </w:pPr>
            <w:r>
              <w:rPr>
                <w:rFonts w:hint="eastAsia" w:ascii="仿宋" w:hAnsi="仿宋" w:eastAsia="仿宋" w:cs="仿宋"/>
                <w:b/>
                <w:bCs/>
                <w:color w:val="555555"/>
                <w:lang w:bidi="ar"/>
              </w:rPr>
              <w:t xml:space="preserve">供应商名称（盖章）：               </w:t>
            </w:r>
          </w:p>
          <w:p>
            <w:pPr>
              <w:widowControl/>
              <w:spacing w:line="360" w:lineRule="auto"/>
              <w:jc w:val="center"/>
              <w:rPr>
                <w:rFonts w:hint="eastAsia" w:ascii="宋体" w:hAnsi="宋体" w:eastAsia="宋体" w:cs="宋体"/>
                <w:b/>
                <w:bCs/>
                <w:color w:val="555555"/>
                <w:kern w:val="0"/>
                <w:sz w:val="32"/>
                <w:szCs w:val="32"/>
                <w:lang w:val="en-US" w:eastAsia="zh-CN" w:bidi="ar"/>
              </w:rPr>
            </w:pPr>
            <w:r>
              <w:rPr>
                <w:rFonts w:hint="eastAsia" w:ascii="仿宋" w:hAnsi="仿宋" w:eastAsia="仿宋" w:cs="仿宋"/>
                <w:b/>
                <w:bCs/>
                <w:color w:val="555555"/>
                <w:kern w:val="0"/>
                <w:sz w:val="24"/>
                <w:lang w:bidi="ar"/>
              </w:rPr>
              <w:t xml:space="preserve">                                           日期：</w:t>
            </w:r>
            <w:r>
              <w:rPr>
                <w:rFonts w:hint="eastAsia" w:ascii="宋体" w:hAnsi="宋体" w:eastAsia="宋体" w:cs="宋体"/>
                <w:b/>
                <w:bCs/>
                <w:color w:val="555555"/>
                <w:kern w:val="0"/>
                <w:sz w:val="24"/>
                <w:lang w:bidi="ar"/>
              </w:rPr>
              <w:t xml:space="preserve">     </w:t>
            </w:r>
          </w:p>
        </w:tc>
      </w:tr>
    </w:tbl>
    <w:p>
      <w:pPr>
        <w:numPr>
          <w:ilvl w:val="0"/>
          <w:numId w:val="0"/>
        </w:numPr>
        <w:wordWrap w:val="0"/>
        <w:spacing w:line="440" w:lineRule="exact"/>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2" w:name="_Toc156196470"/>
      <w:bookmarkStart w:id="3" w:name="_Toc166549448"/>
      <w:bookmarkStart w:id="4" w:name="_Toc128229745"/>
      <w:bookmarkStart w:id="5" w:name="_Toc173677397"/>
      <w:bookmarkStart w:id="6" w:name="_Toc128229916"/>
      <w:bookmarkStart w:id="7" w:name="_Toc156730450"/>
      <w:bookmarkStart w:id="8" w:name="_Toc156196559"/>
      <w:bookmarkStart w:id="9" w:name="_Toc156815770"/>
      <w:bookmarkStart w:id="10" w:name="_Toc128229302"/>
      <w:bookmarkStart w:id="11" w:name="_Toc166139912"/>
      <w:bookmarkStart w:id="12" w:name="_Toc175017342"/>
      <w:r>
        <w:rPr>
          <w:rFonts w:hint="eastAsia" w:ascii="仿宋_GB2312" w:eastAsia="仿宋_GB2312"/>
          <w:color w:val="auto"/>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3" w:name="_Toc156815771"/>
      <w:bookmarkStart w:id="14" w:name="_Toc128229917"/>
      <w:bookmarkStart w:id="15" w:name="_Toc156196560"/>
      <w:bookmarkStart w:id="16" w:name="_Toc156196471"/>
      <w:bookmarkStart w:id="17" w:name="_Toc166139913"/>
      <w:bookmarkStart w:id="18" w:name="_Toc128229746"/>
      <w:bookmarkStart w:id="19" w:name="_Toc166549449"/>
      <w:bookmarkStart w:id="20" w:name="_Toc173677398"/>
      <w:bookmarkStart w:id="21" w:name="_Toc128229303"/>
      <w:bookmarkStart w:id="22" w:name="_Toc156730451"/>
      <w:bookmarkStart w:id="23" w:name="_Toc175017343"/>
      <w:r>
        <w:rPr>
          <w:rFonts w:hint="eastAsia" w:ascii="仿宋_GB2312" w:eastAsia="仿宋_GB2312"/>
          <w:color w:val="auto"/>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4" w:name="_Toc128229304"/>
      <w:bookmarkStart w:id="25" w:name="_Toc237057793"/>
      <w:bookmarkStart w:id="26" w:name="_Toc175017344"/>
      <w:bookmarkStart w:id="27" w:name="_Toc173677399"/>
      <w:bookmarkStart w:id="28" w:name="_Toc128229747"/>
      <w:bookmarkStart w:id="29" w:name="_Toc156196472"/>
      <w:bookmarkStart w:id="30" w:name="_Toc128014297"/>
    </w:p>
    <w:p>
      <w:pPr>
        <w:pStyle w:val="3"/>
        <w:numPr>
          <w:ilvl w:val="0"/>
          <w:numId w:val="2"/>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4"/>
      <w:bookmarkEnd w:id="25"/>
      <w:bookmarkEnd w:id="26"/>
      <w:bookmarkEnd w:id="27"/>
      <w:bookmarkEnd w:id="28"/>
      <w:bookmarkEnd w:id="29"/>
      <w:bookmarkEnd w:id="30"/>
    </w:p>
    <w:p>
      <w:pPr>
        <w:numPr>
          <w:ilvl w:val="0"/>
          <w:numId w:val="0"/>
        </w:numPr>
        <w:jc w:val="center"/>
        <w:rPr>
          <w:b/>
          <w:bCs/>
          <w:sz w:val="32"/>
          <w:szCs w:val="32"/>
        </w:rPr>
      </w:pPr>
      <w:r>
        <w:rPr>
          <w:rFonts w:hint="eastAsia"/>
          <w:b/>
          <w:bCs/>
          <w:color w:val="auto"/>
          <w:sz w:val="32"/>
          <w:szCs w:val="32"/>
        </w:rPr>
        <w:t>投标人法定代表人授权委托书（格式）</w:t>
      </w:r>
    </w:p>
    <w:p>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6.其他可以证明投标人有能力完成本项目的佐证材料</w:t>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pPr>
        <w:spacing w:line="594" w:lineRule="exact"/>
        <w:jc w:val="lef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w:t>
      </w:r>
      <w:r>
        <w:rPr>
          <w:rFonts w:hint="eastAsia" w:ascii="方正仿宋_GBK" w:hAnsi="方正仿宋_GBK" w:eastAsia="方正仿宋_GBK" w:cs="方正仿宋_GBK"/>
          <w:b/>
          <w:bCs/>
          <w:sz w:val="32"/>
          <w:szCs w:val="32"/>
        </w:rPr>
        <w:t>质保及售后服务承诺</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9.投标廉政承诺书</w:t>
      </w:r>
    </w:p>
    <w:p>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4"/>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pStyle w:val="4"/>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pPr>
        <w:rPr>
          <w:rFonts w:hint="eastAsia" w:ascii="仿宋_GB2312" w:hAnsi="宋体" w:eastAsia="仿宋_GB2312"/>
          <w:sz w:val="24"/>
        </w:rPr>
      </w:pPr>
      <w:r>
        <w:rPr>
          <w:rFonts w:hint="eastAsia" w:ascii="仿宋_GB2312" w:hAnsi="宋体" w:eastAsia="仿宋_GB2312"/>
          <w:sz w:val="24"/>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10.密封档案袋格式要求</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p>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000000"/>
    <w:rsid w:val="015B6D6E"/>
    <w:rsid w:val="056E5276"/>
    <w:rsid w:val="06FB539B"/>
    <w:rsid w:val="0C872834"/>
    <w:rsid w:val="0CE64C8D"/>
    <w:rsid w:val="0FD01451"/>
    <w:rsid w:val="122D0B62"/>
    <w:rsid w:val="1922346A"/>
    <w:rsid w:val="1AF86BE0"/>
    <w:rsid w:val="1BDE0896"/>
    <w:rsid w:val="1CF00EFC"/>
    <w:rsid w:val="21426D4A"/>
    <w:rsid w:val="236757CC"/>
    <w:rsid w:val="2FC44243"/>
    <w:rsid w:val="33FB61AD"/>
    <w:rsid w:val="342C6BC9"/>
    <w:rsid w:val="376E6279"/>
    <w:rsid w:val="38A14340"/>
    <w:rsid w:val="3D8263F7"/>
    <w:rsid w:val="3F5D6CC7"/>
    <w:rsid w:val="44C5770F"/>
    <w:rsid w:val="44EF71C4"/>
    <w:rsid w:val="46762EB5"/>
    <w:rsid w:val="47112DA6"/>
    <w:rsid w:val="482D6FF9"/>
    <w:rsid w:val="496140CE"/>
    <w:rsid w:val="4AE139DB"/>
    <w:rsid w:val="4BDB0A24"/>
    <w:rsid w:val="4C31315D"/>
    <w:rsid w:val="4F6D75ED"/>
    <w:rsid w:val="53A17F68"/>
    <w:rsid w:val="61130716"/>
    <w:rsid w:val="61143219"/>
    <w:rsid w:val="626B6216"/>
    <w:rsid w:val="67CF5844"/>
    <w:rsid w:val="69D01878"/>
    <w:rsid w:val="6A1F4430"/>
    <w:rsid w:val="6DD05A39"/>
    <w:rsid w:val="6EC6360F"/>
    <w:rsid w:val="713118C3"/>
    <w:rsid w:val="71C02C3F"/>
    <w:rsid w:val="72BB5C94"/>
    <w:rsid w:val="732B3BA9"/>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szCs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4"/>
    <w:next w:val="11"/>
    <w:qFormat/>
    <w:uiPriority w:val="0"/>
    <w:pPr>
      <w:spacing w:line="360" w:lineRule="auto"/>
      <w:ind w:firstLine="420"/>
    </w:pPr>
    <w:rPr>
      <w:rFonts w:ascii="宋体" w:hAnsi="宋体"/>
      <w:sz w:val="24"/>
    </w:rPr>
  </w:style>
  <w:style w:type="paragraph" w:styleId="11">
    <w:name w:val="Body Text First Indent 2"/>
    <w:basedOn w:val="5"/>
    <w:qFormat/>
    <w:uiPriority w:val="0"/>
    <w:pPr>
      <w:spacing w:after="120" w:afterLines="0" w:line="240" w:lineRule="auto"/>
      <w:ind w:left="420" w:leftChars="200"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8">
    <w:name w:val="font91"/>
    <w:basedOn w:val="14"/>
    <w:qFormat/>
    <w:uiPriority w:val="0"/>
    <w:rPr>
      <w:rFonts w:ascii="楷体" w:hAnsi="楷体" w:eastAsia="楷体" w:cs="楷体"/>
      <w:color w:val="000000"/>
      <w:sz w:val="22"/>
      <w:szCs w:val="22"/>
      <w:u w:val="none"/>
      <w:vertAlign w:val="superscript"/>
    </w:rPr>
  </w:style>
  <w:style w:type="character" w:customStyle="1" w:styleId="19">
    <w:name w:val="font21"/>
    <w:basedOn w:val="14"/>
    <w:qFormat/>
    <w:uiPriority w:val="0"/>
    <w:rPr>
      <w:rFonts w:hint="eastAsia" w:ascii="仿宋" w:hAnsi="仿宋" w:eastAsia="仿宋" w:cs="仿宋"/>
      <w:b/>
      <w:bCs/>
      <w:color w:val="000000"/>
      <w:sz w:val="24"/>
      <w:szCs w:val="24"/>
      <w:u w:val="none"/>
    </w:rPr>
  </w:style>
  <w:style w:type="paragraph" w:customStyle="1" w:styleId="20">
    <w:name w:val="BodyText"/>
    <w:basedOn w:val="1"/>
    <w:next w:val="21"/>
    <w:qFormat/>
    <w:uiPriority w:val="0"/>
    <w:pPr>
      <w:jc w:val="both"/>
      <w:textAlignment w:val="baseline"/>
    </w:pPr>
    <w:rPr>
      <w:rFonts w:ascii="仿宋_GB2312" w:eastAsia="仿宋_GB2312"/>
      <w:kern w:val="2"/>
      <w:sz w:val="32"/>
      <w:lang w:val="en-US" w:eastAsia="zh-CN" w:bidi="ar-SA"/>
    </w:rPr>
  </w:style>
  <w:style w:type="paragraph" w:customStyle="1" w:styleId="21">
    <w:name w:val="BodyTextIndent"/>
    <w:basedOn w:val="1"/>
    <w:qFormat/>
    <w:uiPriority w:val="0"/>
    <w:pPr>
      <w:spacing w:line="700" w:lineRule="exact"/>
      <w:ind w:left="960"/>
      <w:jc w:val="both"/>
      <w:textAlignment w:val="baseline"/>
    </w:pPr>
    <w:rPr>
      <w:kern w:val="2"/>
      <w:sz w:val="44"/>
      <w:lang w:val="en-US" w:eastAsia="zh-CN" w:bidi="ar-SA"/>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1896</Words>
  <Characters>1945</Characters>
  <Lines>0</Lines>
  <Paragraphs>0</Paragraphs>
  <TotalTime>1</TotalTime>
  <ScaleCrop>false</ScaleCrop>
  <LinksUpToDate>false</LinksUpToDate>
  <CharactersWithSpaces>2483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2024-04-24T04:14:38Z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4E6D860826E94096A435A313CAD0E06D</vt:lpwstr>
  </property>
</Properties>
</file>