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项目名称：消毒供应中心环氧乙烷气罐</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项目编号：BSRMYY-YNCG-2025-05002</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42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610"/>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142"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4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742"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498"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42"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环氧乙烷气罐</w:t>
            </w:r>
          </w:p>
        </w:tc>
        <w:tc>
          <w:tcPr>
            <w:tcW w:w="104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w:t>
            </w:r>
          </w:p>
        </w:tc>
        <w:tc>
          <w:tcPr>
            <w:tcW w:w="742"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瓶</w:t>
            </w:r>
          </w:p>
        </w:tc>
        <w:tc>
          <w:tcPr>
            <w:tcW w:w="1498"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245.00</w:t>
            </w:r>
          </w:p>
        </w:tc>
      </w:tr>
      <w:tr w14:paraId="424D0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01" w:type="pct"/>
            <w:gridSpan w:val="4"/>
            <w:vAlign w:val="center"/>
          </w:tcPr>
          <w:p w14:paraId="4494BEB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w:t>
            </w:r>
          </w:p>
        </w:tc>
        <w:tc>
          <w:tcPr>
            <w:tcW w:w="1498" w:type="pct"/>
            <w:vAlign w:val="center"/>
          </w:tcPr>
          <w:p w14:paraId="7476C9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12250.00</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备注：年预估用量不做采购承诺，合同期限3年以实际验收用量据实结算。</w:t>
      </w:r>
    </w:p>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447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
        <w:gridCol w:w="2085"/>
        <w:gridCol w:w="3719"/>
        <w:gridCol w:w="2177"/>
      </w:tblGrid>
      <w:tr w14:paraId="503E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82"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108"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规格型号</w:t>
            </w:r>
          </w:p>
        </w:tc>
        <w:tc>
          <w:tcPr>
            <w:tcW w:w="1232" w:type="pct"/>
            <w:vAlign w:val="center"/>
          </w:tcPr>
          <w:p w14:paraId="1FA22701">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80E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jc w:val="center"/>
        </w:trPr>
        <w:tc>
          <w:tcPr>
            <w:tcW w:w="47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82"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环氧乙烷气罐</w:t>
            </w:r>
          </w:p>
        </w:tc>
        <w:tc>
          <w:tcPr>
            <w:tcW w:w="2108" w:type="pct"/>
            <w:shd w:val="clear" w:color="auto" w:fill="auto"/>
            <w:vAlign w:val="center"/>
          </w:tcPr>
          <w:p w14:paraId="3329D30B">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100g/瓶，环氧乙烷气体浓度为100%；</w:t>
            </w:r>
          </w:p>
          <w:p w14:paraId="4343F5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气罐需与环氧乙烷灭菌器（3MTMSteri-VacTM5XL)适配</w:t>
            </w:r>
          </w:p>
        </w:tc>
        <w:tc>
          <w:tcPr>
            <w:tcW w:w="1232" w:type="pct"/>
            <w:shd w:val="clear" w:color="auto" w:fill="auto"/>
            <w:vAlign w:val="center"/>
          </w:tcPr>
          <w:p w14:paraId="01DA3921">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用于不耐高温、不耐潮湿的物品灭菌</w:t>
            </w:r>
          </w:p>
        </w:tc>
      </w:tr>
      <w:tr w14:paraId="7387C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1" w:hRule="atLeast"/>
          <w:jc w:val="center"/>
        </w:trPr>
        <w:tc>
          <w:tcPr>
            <w:tcW w:w="5000" w:type="pct"/>
            <w:gridSpan w:val="4"/>
            <w:shd w:val="clear" w:color="auto" w:fill="auto"/>
            <w:vAlign w:val="center"/>
          </w:tcPr>
          <w:p w14:paraId="52F962DD">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备注：合同签订前供应商须提供样品保证环氧乙烷气罐适配3MTMSteri-VacTM5XL环氧乙烷灭菌器</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338049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（1）提供工商行政管理部门核发的有效企业法人营业执照、危险品许可证、易制毒品备案证明和运输资质等；</w:t>
      </w:r>
    </w:p>
    <w:p w14:paraId="5567E1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default" w:ascii="方正仿宋_GBK" w:hAnsi="方正仿宋_GBK" w:eastAsia="方正仿宋_GBK" w:cs="方正仿宋_GBK"/>
          <w:color w:val="auto"/>
          <w:sz w:val="32"/>
          <w:szCs w:val="32"/>
          <w:highlight w:val="none"/>
          <w:lang w:val="en-US" w:eastAsia="zh-CN"/>
        </w:rPr>
        <w:t>投标人为生产厂商的须具有《医疗器械生产许可证》或《医疗器械生产备案凭证》；投标人为代理经销商的须提供《医疗器械经营许可证》或《医疗器械经营备案凭证》并提供所投产品生产厂家的《医疗器械生产许可证》或《医疗器械生产备案凭证》</w:t>
      </w:r>
      <w:r>
        <w:rPr>
          <w:rFonts w:hint="eastAsia" w:ascii="方正仿宋_GBK" w:hAnsi="方正仿宋_GBK" w:eastAsia="方正仿宋_GBK" w:cs="方正仿宋_GBK"/>
          <w:color w:val="auto"/>
          <w:sz w:val="32"/>
          <w:szCs w:val="32"/>
          <w:highlight w:val="none"/>
          <w:lang w:val="en-US" w:eastAsia="zh-CN"/>
        </w:rPr>
        <w:t>；</w:t>
      </w:r>
    </w:p>
    <w:p w14:paraId="2F5FD3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default" w:ascii="方正仿宋_GBK" w:hAnsi="方正仿宋_GBK" w:eastAsia="方正仿宋_GBK" w:cs="方正仿宋_GBK"/>
          <w:color w:val="auto"/>
          <w:sz w:val="32"/>
          <w:szCs w:val="32"/>
          <w:highlight w:val="none"/>
          <w:lang w:val="en-US" w:eastAsia="zh-CN"/>
        </w:rPr>
        <w:t>进口产品的，须提供海关进口许可证</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制造商或可追溯到制造商合法授权的授权书原件</w:t>
      </w:r>
      <w:r>
        <w:rPr>
          <w:rFonts w:hint="eastAsia" w:ascii="方正仿宋_GBK" w:hAnsi="方正仿宋_GBK" w:eastAsia="方正仿宋_GBK" w:cs="方正仿宋_GBK"/>
          <w:color w:val="auto"/>
          <w:sz w:val="32"/>
          <w:szCs w:val="32"/>
          <w:highlight w:val="none"/>
          <w:lang w:val="en-US" w:eastAsia="zh-CN"/>
        </w:rPr>
        <w:t>；</w:t>
      </w:r>
    </w:p>
    <w:p w14:paraId="50E82F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val="en-US" w:eastAsia="zh-CN"/>
        </w:rPr>
        <w:t>如有国家规定的其它相关资质证明文件或其它涉及特许经营许可的须提供相关证书</w:t>
      </w:r>
      <w:r>
        <w:rPr>
          <w:rFonts w:hint="eastAsia" w:ascii="方正仿宋_GBK" w:hAnsi="方正仿宋_GBK" w:eastAsia="方正仿宋_GBK" w:cs="方正仿宋_GBK"/>
          <w:color w:val="auto"/>
          <w:sz w:val="32"/>
          <w:szCs w:val="32"/>
          <w:highlight w:val="none"/>
          <w:lang w:val="en-US" w:eastAsia="zh-CN"/>
        </w:rPr>
        <w:t>；</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本项目最高单价详见</w:t>
      </w:r>
      <w:r>
        <w:rPr>
          <w:rFonts w:hint="eastAsia" w:ascii="方正仿宋_GBK" w:hAnsi="方正仿宋_GBK" w:eastAsia="方正仿宋_GBK" w:cs="方正仿宋_GBK"/>
          <w:b w:val="0"/>
          <w:color w:val="auto"/>
          <w:kern w:val="0"/>
          <w:sz w:val="32"/>
          <w:szCs w:val="32"/>
          <w:highlight w:val="none"/>
          <w:lang w:val="en-US" w:eastAsia="zh-CN" w:bidi="ar-SA"/>
        </w:rPr>
        <w:t>“一、采购项目介绍”</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包括但不限于货款、运输装卸、资料装订及邮寄费、税费、保险费、验收检测费、培训费等完成本项目所需的一切费用。因成交供应商自身原因造成漏报、少报皆由其自行承担责任，采购人不再补偿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中选后，一般情况接采购人通知后7个工作日内完成送货，特殊情况1天内完成送货；</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验收合格后据实结算；付款时供应商提供发票、验收单、送货单等；每季度结算一次。</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安装调试并试运行1个月无异常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lang w:val="en-US" w:eastAsia="zh-CN"/>
        </w:rPr>
        <w:t>有效期及质保期限</w:t>
      </w:r>
      <w:r>
        <w:rPr>
          <w:rFonts w:hint="eastAsia" w:ascii="方正仿宋_GBK" w:hAnsi="方正仿宋_GBK" w:eastAsia="方正仿宋_GBK" w:cs="方正仿宋_GBK"/>
          <w:color w:val="auto"/>
          <w:kern w:val="0"/>
          <w:sz w:val="32"/>
          <w:szCs w:val="32"/>
          <w:highlight w:val="none"/>
          <w:lang w:val="en-US" w:eastAsia="zh-CN"/>
        </w:rPr>
        <w:t>：产品到院时剩余有效期不得少于总效期的2/3，效期临近的免费更换。产品按产品说明书进行质保，质保期内非人为损坏免费更换或维修，维修为原厂配件。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2D0B5F7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（4）产品交付前，应对具体使用人至少进行1次培训，包括操作培训及日常维护培训。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500元违约金；合同期限内供应商出现2次及以上违约送货行为，包括延迟交货、数量短缺或未按约定方式配送等，采购人有权单方面终止合同，并要求供应商承担合同发生额30%的违约金；供应商交付前明知存在缺陷仍继续交付或交付后知晓缺陷未及时通知采购人并整改的，采购人有权解除合同并要求供应商承担项目金额3倍的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bookmarkStart w:id="7" w:name="_GoBack"/>
      <w:bookmarkEnd w:id="7"/>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0F6ADA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（1）提供工商行政管理部门核发的有效企业法人营业执照、危险品许可证、易制毒品备案证明和运输资质等；</w:t>
      </w:r>
    </w:p>
    <w:p w14:paraId="11558A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default" w:ascii="方正仿宋_GBK" w:hAnsi="方正仿宋_GBK" w:eastAsia="方正仿宋_GBK" w:cs="方正仿宋_GBK"/>
          <w:color w:val="auto"/>
          <w:sz w:val="32"/>
          <w:szCs w:val="32"/>
          <w:highlight w:val="none"/>
          <w:lang w:val="en-US" w:eastAsia="zh-CN"/>
        </w:rPr>
        <w:t>投标人为生产厂商的须具有《医疗器械生产许可证》或《医疗器械生产备案凭证》；投标人为代理经销商的须提供《医疗器械经营许可证》或《医疗器械经营备案凭证》并提供所投产品生产厂家的《医疗器械生产许可证》或《医疗器械生产备案凭证》</w:t>
      </w:r>
      <w:r>
        <w:rPr>
          <w:rFonts w:hint="eastAsia" w:ascii="方正仿宋_GBK" w:hAnsi="方正仿宋_GBK" w:eastAsia="方正仿宋_GBK" w:cs="方正仿宋_GBK"/>
          <w:color w:val="auto"/>
          <w:sz w:val="32"/>
          <w:szCs w:val="32"/>
          <w:highlight w:val="none"/>
          <w:lang w:val="en-US" w:eastAsia="zh-CN"/>
        </w:rPr>
        <w:t>；</w:t>
      </w:r>
    </w:p>
    <w:p w14:paraId="290AE07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default" w:ascii="方正仿宋_GBK" w:hAnsi="方正仿宋_GBK" w:eastAsia="方正仿宋_GBK" w:cs="方正仿宋_GBK"/>
          <w:color w:val="auto"/>
          <w:sz w:val="32"/>
          <w:szCs w:val="32"/>
          <w:highlight w:val="none"/>
          <w:lang w:val="en-US" w:eastAsia="zh-CN"/>
        </w:rPr>
        <w:t>进口产品的，须提供海关进口许可证</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制造商或可追溯到制造商合法授权的授权书原件</w:t>
      </w:r>
      <w:r>
        <w:rPr>
          <w:rFonts w:hint="eastAsia" w:ascii="方正仿宋_GBK" w:hAnsi="方正仿宋_GBK" w:eastAsia="方正仿宋_GBK" w:cs="方正仿宋_GBK"/>
          <w:color w:val="auto"/>
          <w:sz w:val="32"/>
          <w:szCs w:val="32"/>
          <w:highlight w:val="none"/>
          <w:lang w:val="en-US" w:eastAsia="zh-CN"/>
        </w:rPr>
        <w:t>；</w:t>
      </w:r>
    </w:p>
    <w:p w14:paraId="7E4F13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val="en-US" w:eastAsia="zh-CN"/>
        </w:rPr>
        <w:t>如有国家规定的其它相关资质证明文件或其它涉及特许经营许可的须提供相关证书</w:t>
      </w:r>
      <w:r>
        <w:rPr>
          <w:rFonts w:hint="eastAsia" w:ascii="方正仿宋_GBK" w:hAnsi="方正仿宋_GBK" w:eastAsia="方正仿宋_GBK" w:cs="方正仿宋_GBK"/>
          <w:color w:val="auto"/>
          <w:sz w:val="32"/>
          <w:szCs w:val="32"/>
          <w:highlight w:val="none"/>
          <w:lang w:val="en-US" w:eastAsia="zh-CN"/>
        </w:rPr>
        <w:t>；</w:t>
      </w: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237057793"/>
      <w:bookmarkStart w:id="3" w:name="_Toc156196472"/>
      <w:bookmarkStart w:id="4" w:name="_Toc175017344"/>
      <w:bookmarkStart w:id="5" w:name="_Toc128229747"/>
      <w:bookmarkStart w:id="6" w:name="_Toc12801429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w:t>
      </w:r>
      <w:r>
        <w:rPr>
          <w:rFonts w:hint="eastAsia" w:ascii="方正仿宋_GBK" w:hAnsi="方正仿宋_GBK" w:eastAsia="方正仿宋_GBK" w:cs="方正仿宋_GBK"/>
          <w:sz w:val="32"/>
          <w:szCs w:val="32"/>
          <w:highlight w:val="none"/>
          <w:lang w:val="en-US" w:eastAsia="zh-CN"/>
        </w:rPr>
        <w:t>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元/瓶。</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合格证、产品参数性能彩页、检验检测报告、医疗器械需提供第三方检验检测报告和注册证或备案证等。如供应商非生产厂家应提供生产厂家授权，证明产品合法来源，最迟在中选后合同签订前提交。）</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、培训</w:t>
      </w:r>
      <w:r>
        <w:rPr>
          <w:rFonts w:hint="eastAsia" w:ascii="微软雅黑" w:hAnsi="微软雅黑" w:eastAsia="微软雅黑" w:cs="宋体"/>
          <w:sz w:val="30"/>
          <w:szCs w:val="30"/>
          <w:highlight w:val="none"/>
        </w:rPr>
        <w:t>计划</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25ACC0E">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6167</Words>
  <Characters>6370</Characters>
  <Lines>0</Lines>
  <Paragraphs>0</Paragraphs>
  <TotalTime>4</TotalTime>
  <ScaleCrop>false</ScaleCrop>
  <LinksUpToDate>false</LinksUpToDate>
  <CharactersWithSpaces>6973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2025-05-08T02:13:30Z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