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项目名称：深度学习工作站</w:t>
      </w:r>
      <w:r>
        <w:rPr>
          <w:rFonts w:hint="default"/>
          <w:sz w:val="44"/>
          <w:szCs w:val="44"/>
          <w:lang w:val="en-US" w:eastAsia="zh-CN"/>
        </w:rPr>
        <w:t>（第</w:t>
      </w:r>
      <w:r>
        <w:rPr>
          <w:rFonts w:hint="eastAsia"/>
          <w:sz w:val="44"/>
          <w:szCs w:val="44"/>
          <w:lang w:val="en-US" w:eastAsia="zh-CN"/>
        </w:rPr>
        <w:t>三</w:t>
      </w:r>
      <w:r>
        <w:rPr>
          <w:rFonts w:hint="default"/>
          <w:sz w:val="44"/>
          <w:szCs w:val="44"/>
          <w:lang w:val="en-US" w:eastAsia="zh-CN"/>
        </w:rPr>
        <w:t>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19FBDBF6">
      <w:pPr>
        <w:pStyle w:val="10"/>
        <w:keepNext w:val="0"/>
        <w:keepLines w:val="0"/>
        <w:widowControl/>
        <w:suppressLineNumbers w:val="0"/>
        <w:spacing w:before="0" w:beforeAutospacing="1" w:after="0" w:afterAutospacing="1"/>
        <w:ind w:left="0" w:right="0"/>
        <w:jc w:val="center"/>
      </w:pPr>
      <w:r>
        <w:rPr>
          <w:b/>
          <w:bCs/>
          <w:color w:val="000000"/>
          <w:sz w:val="28"/>
          <w:szCs w:val="28"/>
        </w:rPr>
        <w:t>采购需求介绍</w:t>
      </w:r>
      <w:r>
        <w:t xml:space="preserve"> </w:t>
      </w:r>
    </w:p>
    <w:p w14:paraId="027E1C87">
      <w:pPr>
        <w:pStyle w:val="10"/>
        <w:keepNext w:val="0"/>
        <w:keepLines w:val="0"/>
        <w:widowControl/>
        <w:suppressLineNumbers w:val="0"/>
        <w:pBdr>
          <w:top w:val="none" w:color="auto" w:sz="0" w:space="0"/>
          <w:bottom w:val="none" w:color="auto" w:sz="0" w:space="0"/>
        </w:pBdr>
        <w:spacing w:before="0" w:beforeAutospacing="1" w:after="0" w:afterAutospacing="1" w:line="18" w:lineRule="atLeast"/>
        <w:ind w:left="0" w:right="0"/>
      </w:pPr>
      <w:r>
        <w:rPr>
          <w:sz w:val="28"/>
          <w:szCs w:val="28"/>
        </w:rPr>
        <w:t>一、采购项目介绍</w:t>
      </w:r>
      <w:r>
        <w:t xml:space="preserve"> </w:t>
      </w:r>
    </w:p>
    <w:tbl>
      <w:tblPr>
        <w:tblStyle w:val="13"/>
        <w:tblW w:w="98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86"/>
        <w:gridCol w:w="4194"/>
        <w:gridCol w:w="105"/>
        <w:gridCol w:w="1271"/>
        <w:gridCol w:w="1271"/>
        <w:gridCol w:w="1723"/>
      </w:tblGrid>
      <w:tr w14:paraId="1AF6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CellSpacing w:w="15" w:type="dxa"/>
        </w:trPr>
        <w:tc>
          <w:tcPr>
            <w:tcW w:w="0" w:type="auto"/>
            <w:shd w:val="clear" w:color="auto" w:fill="auto"/>
            <w:vAlign w:val="center"/>
          </w:tcPr>
          <w:p w14:paraId="046B52C9">
            <w:pPr>
              <w:pStyle w:val="10"/>
              <w:keepNext w:val="0"/>
              <w:keepLines w:val="0"/>
              <w:widowControl/>
              <w:suppressLineNumbers w:val="0"/>
              <w:spacing w:before="0" w:beforeAutospacing="1" w:after="0" w:afterAutospacing="1" w:line="18" w:lineRule="atLeast"/>
              <w:ind w:left="0" w:right="0" w:firstLine="0"/>
            </w:pPr>
            <w:r>
              <w:rPr>
                <w:b/>
                <w:bCs/>
                <w:sz w:val="28"/>
                <w:szCs w:val="28"/>
              </w:rPr>
              <w:t>序号</w:t>
            </w:r>
            <w:r>
              <w:t xml:space="preserve"> </w:t>
            </w:r>
          </w:p>
        </w:tc>
        <w:tc>
          <w:tcPr>
            <w:tcW w:w="0" w:type="auto"/>
            <w:shd w:val="clear" w:color="auto" w:fill="auto"/>
            <w:vAlign w:val="center"/>
          </w:tcPr>
          <w:p w14:paraId="3945A5AB">
            <w:pPr>
              <w:pStyle w:val="10"/>
              <w:keepNext w:val="0"/>
              <w:keepLines w:val="0"/>
              <w:widowControl/>
              <w:suppressLineNumbers w:val="0"/>
              <w:spacing w:before="0" w:beforeAutospacing="1" w:after="0" w:afterAutospacing="1" w:line="18" w:lineRule="atLeast"/>
              <w:ind w:left="0" w:right="0" w:firstLine="0"/>
              <w:jc w:val="center"/>
            </w:pPr>
            <w:r>
              <w:rPr>
                <w:b/>
                <w:bCs/>
                <w:sz w:val="28"/>
                <w:szCs w:val="28"/>
              </w:rPr>
              <w:t>名称</w:t>
            </w:r>
            <w:r>
              <w:t xml:space="preserve"> </w:t>
            </w:r>
          </w:p>
        </w:tc>
        <w:tc>
          <w:tcPr>
            <w:tcW w:w="0" w:type="auto"/>
            <w:shd w:val="clear" w:color="auto" w:fill="auto"/>
            <w:vAlign w:val="center"/>
          </w:tcPr>
          <w:p w14:paraId="2E9E1533">
            <w:pPr>
              <w:pStyle w:val="10"/>
              <w:keepNext w:val="0"/>
              <w:keepLines w:val="0"/>
              <w:widowControl/>
              <w:suppressLineNumbers w:val="0"/>
              <w:spacing w:before="0" w:beforeAutospacing="1" w:after="0" w:afterAutospacing="1" w:line="18" w:lineRule="atLeast"/>
              <w:ind w:left="0" w:right="0" w:firstLine="0"/>
              <w:jc w:val="center"/>
            </w:pPr>
          </w:p>
        </w:tc>
        <w:tc>
          <w:tcPr>
            <w:tcW w:w="0" w:type="auto"/>
            <w:shd w:val="clear" w:color="auto" w:fill="auto"/>
            <w:vAlign w:val="center"/>
          </w:tcPr>
          <w:p w14:paraId="4EDD7CEB">
            <w:pPr>
              <w:pStyle w:val="10"/>
              <w:keepNext w:val="0"/>
              <w:keepLines w:val="0"/>
              <w:widowControl/>
              <w:suppressLineNumbers w:val="0"/>
              <w:spacing w:before="0" w:beforeAutospacing="1" w:after="0" w:afterAutospacing="1" w:line="18" w:lineRule="atLeast"/>
              <w:ind w:left="0" w:right="0" w:firstLine="0"/>
              <w:jc w:val="center"/>
            </w:pPr>
            <w:r>
              <w:rPr>
                <w:b/>
                <w:bCs/>
                <w:sz w:val="28"/>
                <w:szCs w:val="28"/>
              </w:rPr>
              <w:t>数量</w:t>
            </w:r>
            <w:r>
              <w:t xml:space="preserve"> </w:t>
            </w:r>
          </w:p>
        </w:tc>
        <w:tc>
          <w:tcPr>
            <w:tcW w:w="0" w:type="auto"/>
            <w:shd w:val="clear" w:color="auto" w:fill="auto"/>
            <w:vAlign w:val="center"/>
          </w:tcPr>
          <w:p w14:paraId="674D5DD7">
            <w:pPr>
              <w:pStyle w:val="10"/>
              <w:keepNext w:val="0"/>
              <w:keepLines w:val="0"/>
              <w:widowControl/>
              <w:suppressLineNumbers w:val="0"/>
              <w:spacing w:before="0" w:beforeAutospacing="1" w:after="0" w:afterAutospacing="1" w:line="18" w:lineRule="atLeast"/>
              <w:ind w:left="0" w:right="0" w:firstLine="0"/>
              <w:jc w:val="center"/>
            </w:pPr>
            <w:r>
              <w:rPr>
                <w:b/>
                <w:bCs/>
                <w:sz w:val="28"/>
                <w:szCs w:val="28"/>
              </w:rPr>
              <w:t>单位</w:t>
            </w:r>
            <w:r>
              <w:t xml:space="preserve"> </w:t>
            </w:r>
          </w:p>
        </w:tc>
        <w:tc>
          <w:tcPr>
            <w:tcW w:w="0" w:type="auto"/>
            <w:shd w:val="clear" w:color="auto" w:fill="auto"/>
            <w:vAlign w:val="center"/>
          </w:tcPr>
          <w:p w14:paraId="424D0056">
            <w:pPr>
              <w:pStyle w:val="10"/>
              <w:keepNext w:val="0"/>
              <w:keepLines w:val="0"/>
              <w:widowControl/>
              <w:suppressLineNumbers w:val="0"/>
              <w:spacing w:before="0" w:beforeAutospacing="1" w:after="0" w:afterAutospacing="1" w:line="18" w:lineRule="atLeast"/>
              <w:ind w:left="0" w:right="0" w:firstLine="0"/>
              <w:jc w:val="center"/>
            </w:pPr>
            <w:r>
              <w:rPr>
                <w:b/>
                <w:bCs/>
                <w:sz w:val="28"/>
                <w:szCs w:val="28"/>
              </w:rPr>
              <w:t>预算</w:t>
            </w:r>
            <w:r>
              <w:t xml:space="preserve"> </w:t>
            </w:r>
          </w:p>
        </w:tc>
      </w:tr>
      <w:tr w14:paraId="7B3C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0" w:type="auto"/>
            <w:shd w:val="clear" w:color="auto" w:fill="auto"/>
            <w:vAlign w:val="center"/>
          </w:tcPr>
          <w:p w14:paraId="53F52890">
            <w:pPr>
              <w:pStyle w:val="10"/>
              <w:keepNext w:val="0"/>
              <w:keepLines w:val="0"/>
              <w:widowControl/>
              <w:suppressLineNumbers w:val="0"/>
              <w:spacing w:before="0" w:beforeAutospacing="1" w:after="0" w:afterAutospacing="1" w:line="18" w:lineRule="atLeast"/>
              <w:ind w:left="0" w:right="0"/>
              <w:jc w:val="center"/>
            </w:pPr>
            <w:r>
              <w:rPr>
                <w:sz w:val="28"/>
                <w:szCs w:val="28"/>
              </w:rPr>
              <w:t>1</w:t>
            </w:r>
            <w:r>
              <w:t xml:space="preserve"> </w:t>
            </w:r>
          </w:p>
        </w:tc>
        <w:tc>
          <w:tcPr>
            <w:tcW w:w="0" w:type="auto"/>
            <w:shd w:val="clear" w:color="auto" w:fill="auto"/>
            <w:vAlign w:val="center"/>
          </w:tcPr>
          <w:p w14:paraId="5455C06F">
            <w:pPr>
              <w:pStyle w:val="10"/>
              <w:keepNext w:val="0"/>
              <w:keepLines w:val="0"/>
              <w:widowControl/>
              <w:suppressLineNumbers w:val="0"/>
              <w:spacing w:before="0" w:beforeAutospacing="1" w:after="0" w:afterAutospacing="1"/>
              <w:ind w:left="0" w:right="0"/>
              <w:jc w:val="center"/>
            </w:pPr>
            <w:r>
              <w:rPr>
                <w:sz w:val="28"/>
                <w:szCs w:val="28"/>
              </w:rPr>
              <w:t>深度学习工作站</w:t>
            </w:r>
            <w:r>
              <w:t xml:space="preserve"> </w:t>
            </w:r>
          </w:p>
        </w:tc>
        <w:tc>
          <w:tcPr>
            <w:tcW w:w="0" w:type="auto"/>
            <w:shd w:val="clear" w:color="auto" w:fill="auto"/>
            <w:vAlign w:val="center"/>
          </w:tcPr>
          <w:p w14:paraId="5DC396F9">
            <w:pPr>
              <w:pStyle w:val="10"/>
              <w:keepNext w:val="0"/>
              <w:keepLines w:val="0"/>
              <w:widowControl/>
              <w:suppressLineNumbers w:val="0"/>
              <w:spacing w:before="0" w:beforeAutospacing="1" w:after="0" w:afterAutospacing="1"/>
              <w:ind w:left="0" w:right="0"/>
              <w:jc w:val="center"/>
            </w:pPr>
          </w:p>
        </w:tc>
        <w:tc>
          <w:tcPr>
            <w:tcW w:w="0" w:type="auto"/>
            <w:shd w:val="clear" w:color="auto" w:fill="auto"/>
            <w:vAlign w:val="center"/>
          </w:tcPr>
          <w:p w14:paraId="2AFBF79D">
            <w:pPr>
              <w:pStyle w:val="10"/>
              <w:keepNext w:val="0"/>
              <w:keepLines w:val="0"/>
              <w:widowControl/>
              <w:suppressLineNumbers w:val="0"/>
              <w:spacing w:before="0" w:beforeAutospacing="1" w:after="0" w:afterAutospacing="1" w:line="18" w:lineRule="atLeast"/>
              <w:ind w:left="0" w:right="0" w:firstLine="0"/>
              <w:jc w:val="center"/>
            </w:pPr>
            <w:r>
              <w:rPr>
                <w:sz w:val="28"/>
                <w:szCs w:val="28"/>
              </w:rPr>
              <w:t>1</w:t>
            </w:r>
            <w:r>
              <w:t xml:space="preserve"> </w:t>
            </w:r>
          </w:p>
        </w:tc>
        <w:tc>
          <w:tcPr>
            <w:tcW w:w="0" w:type="auto"/>
            <w:shd w:val="clear" w:color="auto" w:fill="auto"/>
            <w:vAlign w:val="center"/>
          </w:tcPr>
          <w:p w14:paraId="3A53D78C">
            <w:pPr>
              <w:pStyle w:val="10"/>
              <w:keepNext w:val="0"/>
              <w:keepLines w:val="0"/>
              <w:widowControl/>
              <w:suppressLineNumbers w:val="0"/>
              <w:spacing w:before="0" w:beforeAutospacing="1" w:after="0" w:afterAutospacing="1" w:line="18" w:lineRule="atLeast"/>
              <w:ind w:left="0" w:right="0" w:firstLine="0"/>
              <w:jc w:val="center"/>
            </w:pPr>
            <w:r>
              <w:rPr>
                <w:sz w:val="28"/>
                <w:szCs w:val="28"/>
              </w:rPr>
              <w:t>套</w:t>
            </w:r>
            <w:r>
              <w:t xml:space="preserve"> </w:t>
            </w:r>
          </w:p>
        </w:tc>
        <w:tc>
          <w:tcPr>
            <w:tcW w:w="0" w:type="auto"/>
            <w:shd w:val="clear" w:color="auto" w:fill="auto"/>
            <w:vAlign w:val="center"/>
          </w:tcPr>
          <w:p w14:paraId="61DB6F13">
            <w:pPr>
              <w:pStyle w:val="10"/>
              <w:keepNext w:val="0"/>
              <w:keepLines w:val="0"/>
              <w:widowControl/>
              <w:suppressLineNumbers w:val="0"/>
              <w:spacing w:before="0" w:beforeAutospacing="1" w:after="0" w:afterAutospacing="1" w:line="18" w:lineRule="atLeast"/>
              <w:ind w:left="0" w:right="0" w:firstLine="0"/>
              <w:jc w:val="center"/>
            </w:pPr>
            <w:r>
              <w:rPr>
                <w:sz w:val="28"/>
                <w:szCs w:val="28"/>
              </w:rPr>
              <w:t>5万元</w:t>
            </w:r>
            <w:r>
              <w:t xml:space="preserve"> </w:t>
            </w:r>
          </w:p>
        </w:tc>
      </w:tr>
    </w:tbl>
    <w:p w14:paraId="1426E118">
      <w:pPr>
        <w:pStyle w:val="10"/>
        <w:keepNext w:val="0"/>
        <w:keepLines w:val="0"/>
        <w:widowControl/>
        <w:suppressLineNumbers w:val="0"/>
        <w:spacing w:before="0" w:beforeAutospacing="1" w:after="0" w:afterAutospacing="1"/>
        <w:ind w:left="0" w:right="0" w:firstLine="640"/>
      </w:pPr>
      <w:r>
        <w:rPr>
          <w:color w:val="000000"/>
          <w:sz w:val="32"/>
          <w:szCs w:val="32"/>
        </w:rPr>
        <w:t>本项目</w:t>
      </w:r>
      <w:r>
        <w:rPr>
          <w:rFonts w:hint="eastAsia"/>
          <w:color w:val="000000"/>
          <w:sz w:val="32"/>
          <w:szCs w:val="32"/>
          <w:lang w:val="en-US" w:eastAsia="zh-CN"/>
        </w:rPr>
        <w:t>资金来源为单位自筹，</w:t>
      </w:r>
      <w:r>
        <w:rPr>
          <w:color w:val="000000"/>
          <w:sz w:val="32"/>
          <w:szCs w:val="32"/>
        </w:rPr>
        <w:t>用于大规模神经网络模型训练（如自然语言处理、图像识别等），需满足单机多卡高吞吐量计算需求。</w:t>
      </w:r>
      <w:r>
        <w:t xml:space="preserve"> </w:t>
      </w:r>
    </w:p>
    <w:p w14:paraId="0760A37F">
      <w:pPr>
        <w:pStyle w:val="10"/>
        <w:keepNext w:val="0"/>
        <w:keepLines w:val="0"/>
        <w:widowControl/>
        <w:suppressLineNumbers w:val="0"/>
        <w:spacing w:before="0" w:beforeAutospacing="1" w:after="0" w:afterAutospacing="1"/>
        <w:ind w:left="0" w:right="0"/>
      </w:pPr>
      <w:r>
        <w:rPr>
          <w:b/>
          <w:bCs/>
          <w:sz w:val="28"/>
          <w:szCs w:val="28"/>
        </w:rPr>
        <w:t>二、技术要求</w:t>
      </w:r>
      <w:r>
        <w:t xml:space="preserve"> </w:t>
      </w:r>
    </w:p>
    <w:p w14:paraId="5CBCBFB4">
      <w:pPr>
        <w:pStyle w:val="10"/>
        <w:keepNext w:val="0"/>
        <w:keepLines w:val="0"/>
        <w:widowControl/>
        <w:suppressLineNumbers w:val="0"/>
        <w:spacing w:before="0" w:beforeAutospacing="1" w:after="0" w:afterAutospacing="1"/>
        <w:ind w:left="0" w:right="0" w:firstLine="640"/>
        <w:rPr>
          <w:color w:val="000000"/>
          <w:sz w:val="32"/>
          <w:szCs w:val="32"/>
        </w:rPr>
      </w:pPr>
      <w:r>
        <w:rPr>
          <w:rFonts w:hint="eastAsia"/>
          <w:color w:val="000000"/>
          <w:sz w:val="32"/>
          <w:szCs w:val="32"/>
          <w:lang w:eastAsia="zh-CN"/>
        </w:rPr>
        <w:t>（</w:t>
      </w:r>
      <w:r>
        <w:rPr>
          <w:rFonts w:hint="eastAsia"/>
          <w:color w:val="000000"/>
          <w:sz w:val="32"/>
          <w:szCs w:val="32"/>
          <w:lang w:val="en-US" w:eastAsia="zh-CN"/>
        </w:rPr>
        <w:t>一</w:t>
      </w:r>
      <w:r>
        <w:rPr>
          <w:rFonts w:hint="eastAsia"/>
          <w:color w:val="000000"/>
          <w:sz w:val="32"/>
          <w:szCs w:val="32"/>
          <w:lang w:eastAsia="zh-CN"/>
        </w:rPr>
        <w:t>）</w:t>
      </w:r>
      <w:r>
        <w:rPr>
          <w:color w:val="000000"/>
          <w:sz w:val="32"/>
          <w:szCs w:val="32"/>
        </w:rPr>
        <w:t xml:space="preserve">核心硬件配置 </w:t>
      </w:r>
    </w:p>
    <w:tbl>
      <w:tblPr>
        <w:tblStyle w:val="13"/>
        <w:tblW w:w="10034"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4"/>
        <w:gridCol w:w="5815"/>
        <w:gridCol w:w="3175"/>
      </w:tblGrid>
      <w:tr w14:paraId="145A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D0999E">
            <w:pPr>
              <w:pStyle w:val="10"/>
              <w:keepNext w:val="0"/>
              <w:keepLines w:val="0"/>
              <w:widowControl/>
              <w:suppressLineNumbers w:val="0"/>
              <w:spacing w:before="0" w:beforeAutospacing="1" w:after="0" w:afterAutospacing="1" w:line="320" w:lineRule="atLeast"/>
              <w:ind w:left="0" w:right="0"/>
            </w:pPr>
            <w:r>
              <w:rPr>
                <w:color w:val="000000"/>
                <w:sz w:val="32"/>
                <w:szCs w:val="32"/>
              </w:rPr>
              <w:t>组件</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20D65">
            <w:pPr>
              <w:pStyle w:val="10"/>
              <w:keepNext w:val="0"/>
              <w:keepLines w:val="0"/>
              <w:widowControl/>
              <w:suppressLineNumbers w:val="0"/>
              <w:spacing w:before="0" w:beforeAutospacing="1" w:after="0" w:afterAutospacing="1" w:line="320" w:lineRule="atLeast"/>
              <w:ind w:left="0" w:right="0"/>
            </w:pPr>
            <w:r>
              <w:rPr>
                <w:color w:val="000000"/>
                <w:sz w:val="32"/>
                <w:szCs w:val="32"/>
              </w:rPr>
              <w:t>技术参数要求</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5B2C325">
            <w:pPr>
              <w:pStyle w:val="10"/>
              <w:keepNext w:val="0"/>
              <w:keepLines w:val="0"/>
              <w:widowControl/>
              <w:suppressLineNumbers w:val="0"/>
              <w:spacing w:before="0" w:beforeAutospacing="1" w:after="0" w:afterAutospacing="1" w:line="320" w:lineRule="atLeast"/>
              <w:ind w:left="0" w:right="0"/>
            </w:pPr>
            <w:r>
              <w:rPr>
                <w:color w:val="000000"/>
                <w:sz w:val="32"/>
                <w:szCs w:val="32"/>
              </w:rPr>
              <w:t>说明</w:t>
            </w:r>
            <w:r>
              <w:t xml:space="preserve"> </w:t>
            </w:r>
          </w:p>
        </w:tc>
      </w:tr>
      <w:tr w14:paraId="4999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97FD9">
            <w:pPr>
              <w:pStyle w:val="10"/>
              <w:keepNext w:val="0"/>
              <w:keepLines w:val="0"/>
              <w:widowControl/>
              <w:suppressLineNumbers w:val="0"/>
              <w:spacing w:before="0" w:beforeAutospacing="1" w:after="0" w:afterAutospacing="1" w:line="320" w:lineRule="atLeast"/>
              <w:ind w:left="0" w:right="0"/>
            </w:pPr>
            <w:r>
              <w:rPr>
                <w:color w:val="000000"/>
                <w:sz w:val="32"/>
                <w:szCs w:val="32"/>
              </w:rPr>
              <w:t>处理器</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C416F">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Intel Core i9-14900K，24核32线程，基础频率≥3.2GHz，睿频≥5.8GHz</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2EF5D78">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需提供原厂盒装及防伪码验证</w:t>
            </w:r>
            <w:r>
              <w:t xml:space="preserve"> </w:t>
            </w:r>
          </w:p>
        </w:tc>
      </w:tr>
      <w:tr w14:paraId="5930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48B78783">
            <w:pPr>
              <w:pStyle w:val="10"/>
              <w:keepNext w:val="0"/>
              <w:keepLines w:val="0"/>
              <w:widowControl/>
              <w:suppressLineNumbers w:val="0"/>
              <w:spacing w:before="0" w:beforeAutospacing="1" w:after="0" w:afterAutospacing="1" w:line="320" w:lineRule="atLeast"/>
              <w:ind w:left="0" w:right="0"/>
            </w:pPr>
            <w:r>
              <w:rPr>
                <w:color w:val="000000"/>
                <w:sz w:val="32"/>
                <w:szCs w:val="32"/>
              </w:rPr>
              <w:t>显卡</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0647BB28">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NVIDIA GeForce RTX 4090 D ×2，单卡显存≥24GB GDDR6X，CUDA核心数≥16,384</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E4E4E4"/>
            <w:vAlign w:val="center"/>
          </w:tcPr>
          <w:p w14:paraId="75C686E6">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显存颗粒禁用镁光，仅限三星/海力士/长鑫</w:t>
            </w:r>
            <w:r>
              <w:t xml:space="preserve"> </w:t>
            </w:r>
          </w:p>
        </w:tc>
      </w:tr>
      <w:tr w14:paraId="5D0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A5328">
            <w:pPr>
              <w:pStyle w:val="10"/>
              <w:keepNext w:val="0"/>
              <w:keepLines w:val="0"/>
              <w:widowControl/>
              <w:suppressLineNumbers w:val="0"/>
              <w:spacing w:before="0" w:beforeAutospacing="1" w:after="0" w:afterAutospacing="1" w:line="320" w:lineRule="atLeast"/>
              <w:ind w:left="0" w:right="0"/>
            </w:pPr>
            <w:r>
              <w:rPr>
                <w:color w:val="000000"/>
                <w:sz w:val="32"/>
                <w:szCs w:val="32"/>
              </w:rPr>
              <w:t>内存</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3BE2D8">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DDR5 5600MHz，总容量≥128GB（4×32GB），时序≤CL36</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193028C0">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颗粒品牌仅限三星/海力士/长鑫</w:t>
            </w:r>
            <w:r>
              <w:t xml:space="preserve"> </w:t>
            </w:r>
          </w:p>
        </w:tc>
      </w:tr>
      <w:tr w14:paraId="1759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5BC6A64B">
            <w:pPr>
              <w:pStyle w:val="10"/>
              <w:keepNext w:val="0"/>
              <w:keepLines w:val="0"/>
              <w:widowControl/>
              <w:suppressLineNumbers w:val="0"/>
              <w:spacing w:before="0" w:beforeAutospacing="1" w:after="0" w:afterAutospacing="1" w:line="320" w:lineRule="atLeast"/>
              <w:ind w:left="0" w:right="0"/>
            </w:pPr>
            <w:r>
              <w:rPr>
                <w:color w:val="000000"/>
                <w:sz w:val="32"/>
                <w:szCs w:val="32"/>
              </w:rPr>
              <w:t>存储</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002F06E0">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PCIe 4.0 NVMe SSD ≥2TB，连续读取速度≥7,000MB/s，随机读写≥1,000K IOPS</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E4E4E4"/>
            <w:vAlign w:val="center"/>
          </w:tcPr>
          <w:p w14:paraId="144D295F">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主控芯片禁用慧荣（SMI），优先联芸（Maxio）方案</w:t>
            </w:r>
            <w:r>
              <w:t xml:space="preserve"> </w:t>
            </w:r>
          </w:p>
        </w:tc>
      </w:tr>
      <w:tr w14:paraId="5C0D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FD847">
            <w:pPr>
              <w:pStyle w:val="10"/>
              <w:keepNext w:val="0"/>
              <w:keepLines w:val="0"/>
              <w:widowControl/>
              <w:suppressLineNumbers w:val="0"/>
              <w:spacing w:before="0" w:beforeAutospacing="1" w:after="0" w:afterAutospacing="1" w:line="320" w:lineRule="atLeast"/>
              <w:ind w:left="0" w:right="0"/>
            </w:pPr>
            <w:r>
              <w:rPr>
                <w:color w:val="000000"/>
                <w:sz w:val="32"/>
                <w:szCs w:val="32"/>
              </w:rPr>
              <w:t>主板</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63D56">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支持LGA1700插槽，供电满足Intel Core i9-14900K全核满频稳定运行，提供双PCIe 5.0 x8通道，至少4个DDR5 DIMM插槽</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6193803">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品牌限定为华硕/微星</w:t>
            </w:r>
            <w:r>
              <w:t xml:space="preserve"> </w:t>
            </w:r>
          </w:p>
        </w:tc>
      </w:tr>
      <w:tr w14:paraId="66A7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6D58D0C2">
            <w:pPr>
              <w:pStyle w:val="10"/>
              <w:keepNext w:val="0"/>
              <w:keepLines w:val="0"/>
              <w:widowControl/>
              <w:suppressLineNumbers w:val="0"/>
              <w:spacing w:before="0" w:beforeAutospacing="1" w:after="0" w:afterAutospacing="1" w:line="320" w:lineRule="atLeast"/>
              <w:ind w:left="0" w:right="0"/>
            </w:pPr>
            <w:r>
              <w:rPr>
                <w:color w:val="000000"/>
                <w:sz w:val="32"/>
                <w:szCs w:val="32"/>
              </w:rPr>
              <w:t>电源</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1A795987">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≥1600W钛金认证，配备双12VHPWR接口（支持600W显卡供电），转换效率≥94%@50%负载</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E4E4E4"/>
            <w:vAlign w:val="center"/>
          </w:tcPr>
          <w:p w14:paraId="4444DB5E">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w:t>
            </w:r>
            <w:r>
              <w:t xml:space="preserve"> </w:t>
            </w:r>
          </w:p>
        </w:tc>
      </w:tr>
      <w:tr w14:paraId="1C7B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5FC5EB">
            <w:pPr>
              <w:pStyle w:val="10"/>
              <w:keepNext w:val="0"/>
              <w:keepLines w:val="0"/>
              <w:widowControl/>
              <w:suppressLineNumbers w:val="0"/>
              <w:spacing w:before="0" w:beforeAutospacing="1" w:after="0" w:afterAutospacing="1" w:line="320" w:lineRule="atLeast"/>
              <w:ind w:left="0" w:right="0"/>
            </w:pPr>
            <w:r>
              <w:rPr>
                <w:color w:val="000000"/>
                <w:sz w:val="32"/>
                <w:szCs w:val="32"/>
              </w:rPr>
              <w:t>散热</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C8CA53">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CPU采用360mm一体式水冷，机箱配备≥6个120mm PWM风扇（前3进/顶3出）</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1D51C0F">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w:t>
            </w:r>
            <w:r>
              <w:t xml:space="preserve"> </w:t>
            </w:r>
          </w:p>
        </w:tc>
      </w:tr>
      <w:tr w14:paraId="5927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204C3D51">
            <w:pPr>
              <w:pStyle w:val="10"/>
              <w:keepNext w:val="0"/>
              <w:keepLines w:val="0"/>
              <w:widowControl/>
              <w:suppressLineNumbers w:val="0"/>
              <w:spacing w:before="0" w:beforeAutospacing="1" w:after="0" w:afterAutospacing="1" w:line="320" w:lineRule="atLeast"/>
              <w:ind w:left="0" w:right="0"/>
            </w:pPr>
            <w:r>
              <w:rPr>
                <w:color w:val="000000"/>
                <w:sz w:val="32"/>
                <w:szCs w:val="32"/>
              </w:rPr>
              <w:t>机箱</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6F836234">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支持E-ATX主板，显卡限长≥400mm，散热器限高≥180mm，支持顶部360冷排</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E4E4E4"/>
            <w:vAlign w:val="center"/>
          </w:tcPr>
          <w:p w14:paraId="2AFE8272">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w:t>
            </w:r>
            <w:r>
              <w:t xml:space="preserve"> </w:t>
            </w:r>
          </w:p>
        </w:tc>
      </w:tr>
      <w:tr w14:paraId="3D30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blCellSpacing w:w="15" w:type="dxa"/>
        </w:trPr>
        <w:tc>
          <w:tcPr>
            <w:tcW w:w="999"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0EA1D8F4">
            <w:pPr>
              <w:pStyle w:val="10"/>
              <w:keepNext w:val="0"/>
              <w:keepLines w:val="0"/>
              <w:widowControl/>
              <w:suppressLineNumbers w:val="0"/>
              <w:spacing w:before="0" w:beforeAutospacing="1" w:after="0" w:afterAutospacing="1" w:line="320" w:lineRule="atLeast"/>
              <w:ind w:left="0" w:right="0"/>
            </w:pPr>
            <w:r>
              <w:rPr>
                <w:color w:val="000000"/>
                <w:sz w:val="32"/>
                <w:szCs w:val="32"/>
              </w:rPr>
              <w:t>网络接口</w:t>
            </w:r>
            <w:r>
              <w:t xml:space="preserve"> </w:t>
            </w:r>
          </w:p>
        </w:tc>
        <w:tc>
          <w:tcPr>
            <w:tcW w:w="5785"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57A771F4">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支持千兆以太网，具备高速数据传输能力，便于与服务器集群进行协同工作</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E4E4E4"/>
            <w:vAlign w:val="center"/>
          </w:tcPr>
          <w:p w14:paraId="532329E5">
            <w:pPr>
              <w:pStyle w:val="10"/>
              <w:keepNext w:val="0"/>
              <w:keepLines w:val="0"/>
              <w:widowControl/>
              <w:suppressLineNumbers w:val="0"/>
              <w:spacing w:before="0" w:beforeAutospacing="1" w:after="0" w:afterAutospacing="1" w:line="320" w:lineRule="atLeast"/>
              <w:ind w:left="0" w:right="0"/>
              <w:jc w:val="left"/>
            </w:pPr>
          </w:p>
        </w:tc>
      </w:tr>
    </w:tbl>
    <w:p w14:paraId="6240F068">
      <w:pPr>
        <w:pStyle w:val="10"/>
        <w:keepNext w:val="0"/>
        <w:keepLines w:val="0"/>
        <w:widowControl/>
        <w:suppressLineNumbers w:val="0"/>
        <w:spacing w:before="0" w:beforeAutospacing="1" w:after="0" w:afterAutospacing="1"/>
        <w:ind w:left="0" w:right="0"/>
      </w:pPr>
      <w:r>
        <w:rPr>
          <w:rFonts w:hint="eastAsia"/>
          <w:lang w:eastAsia="zh-CN"/>
        </w:rPr>
        <w:t>（</w:t>
      </w:r>
      <w:r>
        <w:rPr>
          <w:rFonts w:hint="eastAsia"/>
          <w:lang w:val="en-US" w:eastAsia="zh-CN"/>
        </w:rPr>
        <w:t>二</w:t>
      </w:r>
      <w:r>
        <w:rPr>
          <w:rFonts w:hint="eastAsia"/>
          <w:lang w:eastAsia="zh-CN"/>
        </w:rPr>
        <w:t>）</w:t>
      </w:r>
      <w:r>
        <w:t xml:space="preserve">软件与系统 </w:t>
      </w:r>
    </w:p>
    <w:tbl>
      <w:tblPr>
        <w:tblStyle w:val="13"/>
        <w:tblW w:w="10026"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9"/>
        <w:gridCol w:w="8517"/>
      </w:tblGrid>
      <w:tr w14:paraId="2526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F8DE0">
            <w:pPr>
              <w:pStyle w:val="10"/>
              <w:keepNext w:val="0"/>
              <w:keepLines w:val="0"/>
              <w:widowControl/>
              <w:suppressLineNumbers w:val="0"/>
              <w:spacing w:before="0" w:beforeAutospacing="1" w:after="0" w:afterAutospacing="1" w:line="320" w:lineRule="atLeast"/>
              <w:ind w:left="0" w:right="0"/>
            </w:pPr>
            <w:r>
              <w:rPr>
                <w:color w:val="000000"/>
                <w:sz w:val="32"/>
                <w:szCs w:val="32"/>
              </w:rPr>
              <w:t>类别</w:t>
            </w:r>
            <w:r>
              <w:t xml:space="preserve"> </w:t>
            </w:r>
          </w:p>
        </w:tc>
        <w:tc>
          <w:tcPr>
            <w:tcW w:w="84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EB6B91">
            <w:pPr>
              <w:pStyle w:val="10"/>
              <w:keepNext w:val="0"/>
              <w:keepLines w:val="0"/>
              <w:widowControl/>
              <w:suppressLineNumbers w:val="0"/>
              <w:spacing w:before="0" w:beforeAutospacing="1" w:after="0" w:afterAutospacing="1" w:line="320" w:lineRule="atLeast"/>
              <w:ind w:left="0" w:right="0"/>
            </w:pPr>
            <w:r>
              <w:rPr>
                <w:color w:val="000000"/>
                <w:sz w:val="32"/>
                <w:szCs w:val="32"/>
              </w:rPr>
              <w:t>要求</w:t>
            </w:r>
            <w:r>
              <w:t xml:space="preserve"> </w:t>
            </w:r>
          </w:p>
        </w:tc>
      </w:tr>
      <w:tr w14:paraId="69EC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57A46">
            <w:pPr>
              <w:pStyle w:val="10"/>
              <w:keepNext w:val="0"/>
              <w:keepLines w:val="0"/>
              <w:widowControl/>
              <w:suppressLineNumbers w:val="0"/>
              <w:spacing w:before="0" w:beforeAutospacing="1" w:after="0" w:afterAutospacing="1" w:line="320" w:lineRule="atLeast"/>
              <w:ind w:left="0" w:right="0"/>
            </w:pPr>
            <w:r>
              <w:rPr>
                <w:color w:val="000000"/>
                <w:sz w:val="32"/>
                <w:szCs w:val="32"/>
              </w:rPr>
              <w:t>操作系统</w:t>
            </w:r>
            <w:r>
              <w:t xml:space="preserve"> </w:t>
            </w:r>
          </w:p>
        </w:tc>
        <w:tc>
          <w:tcPr>
            <w:tcW w:w="84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79A2ED">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预装Windows 11专业版（64位），提供正版授权证书及激活工具，支持深度学习框架的安装和运行。</w:t>
            </w:r>
            <w:r>
              <w:t xml:space="preserve"> </w:t>
            </w:r>
          </w:p>
        </w:tc>
      </w:tr>
      <w:tr w14:paraId="79E1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64"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5BEF3592">
            <w:pPr>
              <w:pStyle w:val="10"/>
              <w:keepNext w:val="0"/>
              <w:keepLines w:val="0"/>
              <w:widowControl/>
              <w:suppressLineNumbers w:val="0"/>
              <w:spacing w:before="0" w:beforeAutospacing="1" w:after="0" w:afterAutospacing="1" w:line="320" w:lineRule="atLeast"/>
              <w:ind w:left="0" w:right="0"/>
            </w:pPr>
            <w:r>
              <w:rPr>
                <w:color w:val="000000"/>
                <w:sz w:val="32"/>
                <w:szCs w:val="32"/>
              </w:rPr>
              <w:t>驱动</w:t>
            </w:r>
            <w:r>
              <w:t xml:space="preserve"> </w:t>
            </w:r>
          </w:p>
        </w:tc>
        <w:tc>
          <w:tcPr>
            <w:tcW w:w="8472" w:type="dxa"/>
            <w:tcBorders>
              <w:top w:val="single" w:color="000000" w:sz="8" w:space="0"/>
              <w:left w:val="single" w:color="000000" w:sz="8" w:space="0"/>
              <w:bottom w:val="single" w:color="000000" w:sz="8" w:space="0"/>
              <w:right w:val="single" w:color="000000" w:sz="8" w:space="0"/>
            </w:tcBorders>
            <w:shd w:val="clear" w:color="auto" w:fill="E4E4E4"/>
            <w:vAlign w:val="center"/>
          </w:tcPr>
          <w:p w14:paraId="62E87397">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提供NVIDIA Studio驱动（版本≥551.23）、Intel芯片组驱动完整套装</w:t>
            </w:r>
            <w:r>
              <w:t xml:space="preserve"> </w:t>
            </w:r>
          </w:p>
        </w:tc>
      </w:tr>
    </w:tbl>
    <w:p w14:paraId="25C6370B">
      <w:pPr>
        <w:rPr>
          <w:vanish/>
          <w:sz w:val="24"/>
          <w:szCs w:val="24"/>
        </w:rPr>
      </w:pPr>
    </w:p>
    <w:tbl>
      <w:tblPr>
        <w:tblStyle w:val="13"/>
        <w:tblW w:w="10026"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27"/>
        <w:gridCol w:w="8499"/>
      </w:tblGrid>
      <w:tr w14:paraId="2637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E9D9CEB">
            <w:pPr>
              <w:pStyle w:val="10"/>
              <w:keepNext w:val="0"/>
              <w:keepLines w:val="0"/>
              <w:widowControl/>
              <w:suppressLineNumbers w:val="0"/>
              <w:spacing w:before="0" w:beforeAutospacing="1" w:after="0" w:afterAutospacing="1" w:line="320" w:lineRule="atLeast"/>
              <w:ind w:left="0" w:right="0"/>
            </w:pPr>
            <w:r>
              <w:rPr>
                <w:color w:val="000000"/>
                <w:sz w:val="32"/>
                <w:szCs w:val="32"/>
              </w:rPr>
              <w:t>框架支持</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2416DFF">
            <w:pPr>
              <w:pStyle w:val="10"/>
              <w:keepNext w:val="0"/>
              <w:keepLines w:val="0"/>
              <w:widowControl/>
              <w:suppressLineNumbers w:val="0"/>
              <w:spacing w:before="0" w:beforeAutospacing="1" w:after="0" w:afterAutospacing="1" w:line="320" w:lineRule="atLeast"/>
              <w:ind w:left="0" w:right="0"/>
              <w:jc w:val="left"/>
            </w:pPr>
            <w:r>
              <w:rPr>
                <w:color w:val="000000"/>
                <w:sz w:val="32"/>
                <w:szCs w:val="32"/>
              </w:rPr>
              <w:t>预装PyTorch 2.3+CUDA 12.4、TensorFlow 2.16开发环境</w:t>
            </w:r>
            <w:r>
              <w:t xml:space="preserve"> </w:t>
            </w:r>
          </w:p>
        </w:tc>
      </w:tr>
    </w:tbl>
    <w:p w14:paraId="641BC7BA">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 严禁使用镁光（Micron）品牌产品（包括内存、闪存等所有组件）</w:t>
      </w:r>
      <w:r>
        <w:t xml:space="preserve"> </w:t>
      </w:r>
    </w:p>
    <w:p w14:paraId="11F8C7F5">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 其他被中华人民共和国明令禁售的配件（以工信部最新制裁清单为准）</w:t>
      </w:r>
      <w:r>
        <w:t xml:space="preserve"> </w:t>
      </w:r>
    </w:p>
    <w:p w14:paraId="015FE9CA">
      <w:pPr>
        <w:pStyle w:val="10"/>
        <w:keepNext w:val="0"/>
        <w:keepLines w:val="0"/>
        <w:widowControl/>
        <w:suppressLineNumbers w:val="0"/>
        <w:spacing w:before="0" w:beforeAutospacing="1" w:after="0" w:afterAutospacing="1" w:line="500" w:lineRule="atLeast"/>
        <w:ind w:left="0" w:right="0"/>
      </w:pPr>
      <w:r>
        <w:rPr>
          <w:b/>
          <w:bCs/>
          <w:color w:val="000000"/>
          <w:sz w:val="32"/>
          <w:szCs w:val="32"/>
        </w:rPr>
        <w:t>三、商务需求：（须完全响应）</w:t>
      </w:r>
      <w:r>
        <w:t xml:space="preserve"> </w:t>
      </w:r>
    </w:p>
    <w:p w14:paraId="5791F6E3">
      <w:pPr>
        <w:pStyle w:val="10"/>
        <w:keepNext w:val="0"/>
        <w:keepLines w:val="0"/>
        <w:widowControl/>
        <w:suppressLineNumbers w:val="0"/>
        <w:spacing w:before="0" w:beforeAutospacing="1" w:after="0" w:afterAutospacing="1" w:line="500" w:lineRule="atLeast"/>
        <w:ind w:left="630" w:right="0"/>
        <w:jc w:val="both"/>
      </w:pPr>
      <w:r>
        <w:rPr>
          <w:b/>
          <w:bCs/>
          <w:color w:val="000000"/>
          <w:sz w:val="32"/>
          <w:szCs w:val="32"/>
        </w:rPr>
        <w:t>1.供应商资格条件</w:t>
      </w:r>
      <w:r>
        <w:t xml:space="preserve"> </w:t>
      </w:r>
    </w:p>
    <w:p w14:paraId="5C8EF6FB">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一般资质条件</w:t>
      </w:r>
      <w:r>
        <w:t xml:space="preserve"> </w:t>
      </w:r>
    </w:p>
    <w:p w14:paraId="21564618">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1.具有独立承担民事责任的能力；如公司营业执照（须圈出符合资质要求的经营范围和有效期）；</w:t>
      </w:r>
      <w:r>
        <w:t xml:space="preserve"> </w:t>
      </w:r>
    </w:p>
    <w:p w14:paraId="247F0EE2">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2.具有良好的商业信誉和健全的财务会计制度（提供承诺函）；</w:t>
      </w:r>
      <w:r>
        <w:t xml:space="preserve"> </w:t>
      </w:r>
    </w:p>
    <w:p w14:paraId="7856C971">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3.具有履行合同所必需的设备和专业技术能力（提供承诺函）；</w:t>
      </w:r>
      <w:r>
        <w:t xml:space="preserve"> </w:t>
      </w:r>
    </w:p>
    <w:p w14:paraId="06E9F219">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4.有依法缴纳税收和社会保障资金的良好记录（提供承诺函）；</w:t>
      </w:r>
      <w:r>
        <w:t xml:space="preserve"> </w:t>
      </w:r>
    </w:p>
    <w:p w14:paraId="62C2965E">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5.参加政府采购活动前三年内，在经营活动中没有重大违法记录（提供承诺函）；</w:t>
      </w:r>
      <w:r>
        <w:t xml:space="preserve"> </w:t>
      </w:r>
    </w:p>
    <w:p w14:paraId="48960EB8">
      <w:pPr>
        <w:pStyle w:val="10"/>
        <w:keepNext w:val="0"/>
        <w:keepLines w:val="0"/>
        <w:widowControl/>
        <w:suppressLineNumbers w:val="0"/>
        <w:spacing w:before="0" w:beforeAutospacing="1" w:after="0" w:afterAutospacing="1" w:line="600" w:lineRule="atLeast"/>
        <w:ind w:left="0" w:right="0" w:firstLine="640"/>
        <w:jc w:val="both"/>
      </w:pPr>
      <w:r>
        <w:rPr>
          <w:color w:val="000000"/>
          <w:sz w:val="32"/>
          <w:szCs w:val="32"/>
        </w:rPr>
        <w:t>6.法律、行政法规规定的其他条件。</w:t>
      </w:r>
      <w:r>
        <w:t xml:space="preserve"> </w:t>
      </w:r>
    </w:p>
    <w:p w14:paraId="6445AE1B">
      <w:pPr>
        <w:pStyle w:val="10"/>
        <w:keepNext w:val="0"/>
        <w:keepLines w:val="0"/>
        <w:widowControl/>
        <w:suppressLineNumbers w:val="0"/>
        <w:spacing w:before="0" w:beforeAutospacing="1" w:after="0" w:afterAutospacing="1"/>
        <w:ind w:left="0" w:right="0" w:firstLine="640"/>
      </w:pPr>
      <w:r>
        <w:rPr>
          <w:color w:val="000000"/>
          <w:sz w:val="32"/>
          <w:szCs w:val="32"/>
        </w:rPr>
        <w:t>特定资格条件：提供2项销售的类似业绩（含合同及付款凭据）；承诺不采用任何受制裁技术路径（如CUDA锁区版本）；提供技术支持团队证明；其他包括但不限于国家现行或最新的法律法规要求必须</w:t>
      </w:r>
      <w:r>
        <w:rPr>
          <w:sz w:val="32"/>
          <w:szCs w:val="32"/>
        </w:rPr>
        <w:t>具备的资格，供应商不能满足特定资格条件要求的不能参与投标</w:t>
      </w:r>
      <w:r>
        <w:rPr>
          <w:color w:val="000000"/>
          <w:sz w:val="32"/>
          <w:szCs w:val="32"/>
        </w:rPr>
        <w:t>。</w:t>
      </w:r>
      <w:r>
        <w:t xml:space="preserve"> </w:t>
      </w:r>
    </w:p>
    <w:p w14:paraId="40862FEE">
      <w:pPr>
        <w:pStyle w:val="10"/>
        <w:keepNext w:val="0"/>
        <w:keepLines w:val="0"/>
        <w:widowControl/>
        <w:suppressLineNumbers w:val="0"/>
        <w:spacing w:before="0" w:beforeAutospacing="1" w:after="0" w:afterAutospacing="1" w:line="500" w:lineRule="atLeast"/>
        <w:ind w:left="630" w:right="0"/>
        <w:jc w:val="both"/>
      </w:pPr>
      <w:r>
        <w:rPr>
          <w:b/>
          <w:bCs/>
          <w:color w:val="000000"/>
          <w:sz w:val="32"/>
          <w:szCs w:val="32"/>
        </w:rPr>
        <w:t>2.项目最高限价</w:t>
      </w:r>
      <w:r>
        <w:t xml:space="preserve"> </w:t>
      </w:r>
    </w:p>
    <w:p w14:paraId="37299234">
      <w:pPr>
        <w:pStyle w:val="10"/>
        <w:keepNext w:val="0"/>
        <w:keepLines w:val="0"/>
        <w:widowControl/>
        <w:suppressLineNumbers w:val="0"/>
        <w:spacing w:before="0" w:beforeAutospacing="1" w:after="0" w:afterAutospacing="1"/>
        <w:ind w:left="360" w:right="0"/>
      </w:pPr>
      <w:r>
        <w:rPr>
          <w:color w:val="000000"/>
          <w:sz w:val="32"/>
          <w:szCs w:val="32"/>
        </w:rPr>
        <w:t>本项目最高限价50000元。报价要求：本次报价采用总价/折扣率进行报价，包含：货款、安装调试费（供应商需考虑安装周围场地因素）、产品质保期内维护费（含原厂配件、易损件的更换）、产品使用保养培训费、资料装订及邮寄费、税费、安全保险费、软件授权费用（Windows/驱动/框架）、技术服务费（环境部署与培训）、验收检测费等完成本项目所需的一切费用。因成交供应商自身原因造成漏报、少报皆由其自行承担责任，采购人不再补偿。产品安装验收前发生的安全责任事故由供应商自行承担。供应商需提供详细的产品分项报价单，包括硬件配置、软件授权、运输费用、安装调试费用等所有相关费用，所报配件价格不能高于市场平均价格。</w:t>
      </w:r>
      <w:r>
        <w:t xml:space="preserve"> </w:t>
      </w:r>
    </w:p>
    <w:p w14:paraId="31C81828">
      <w:pPr>
        <w:pStyle w:val="10"/>
        <w:keepNext w:val="0"/>
        <w:keepLines w:val="0"/>
        <w:widowControl/>
        <w:suppressLineNumbers w:val="0"/>
        <w:spacing w:before="0" w:beforeAutospacing="1" w:after="0" w:afterAutospacing="1" w:line="500" w:lineRule="atLeast"/>
        <w:ind w:left="0" w:right="0" w:firstLine="643"/>
        <w:jc w:val="both"/>
      </w:pPr>
      <w:r>
        <w:rPr>
          <w:b/>
          <w:bCs/>
          <w:color w:val="000000"/>
          <w:sz w:val="32"/>
          <w:szCs w:val="32"/>
        </w:rPr>
        <w:t>3.合同签订及交货期限</w:t>
      </w:r>
      <w:r>
        <w:t xml:space="preserve"> </w:t>
      </w:r>
    </w:p>
    <w:p w14:paraId="38BD35AC">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合同签订前供应商提供相关产品的代理授权资料，确保产品来源合法、质量可靠。成交供应商在接到成交通知后20日内与采购人签订采购合同和廉政购销协议，供应商应指定销售代表姓名及联系方式，不得实施商业贿赂等不良行为。</w:t>
      </w:r>
      <w:r>
        <w:t xml:space="preserve"> </w:t>
      </w:r>
    </w:p>
    <w:p w14:paraId="46AE278F">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供应商需在合同签订后15个工作日内完成交货，并提供详细的运输计划和安装调试方案。</w:t>
      </w:r>
      <w:r>
        <w:t xml:space="preserve"> </w:t>
      </w:r>
    </w:p>
    <w:p w14:paraId="57FFF06A">
      <w:pPr>
        <w:pStyle w:val="10"/>
        <w:keepNext w:val="0"/>
        <w:keepLines w:val="0"/>
        <w:widowControl/>
        <w:suppressLineNumbers w:val="0"/>
        <w:spacing w:before="0" w:beforeAutospacing="1" w:after="0" w:afterAutospacing="1" w:line="500" w:lineRule="atLeast"/>
        <w:ind w:left="0" w:right="0" w:firstLine="643"/>
        <w:jc w:val="both"/>
      </w:pPr>
      <w:r>
        <w:rPr>
          <w:b/>
          <w:bCs/>
          <w:color w:val="000000"/>
          <w:sz w:val="32"/>
          <w:szCs w:val="32"/>
        </w:rPr>
        <w:t>4.付款方式</w:t>
      </w:r>
      <w:r>
        <w:t xml:space="preserve"> </w:t>
      </w:r>
    </w:p>
    <w:p w14:paraId="1EA82033">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验收合格后一次性支付成交价的95%，剩余款质保结束产品维保合格且设备运行正常后一次性无息支付。付款时供应商须提交全额发票、培训记录、验收记录。</w:t>
      </w:r>
      <w:r>
        <w:t xml:space="preserve"> </w:t>
      </w:r>
    </w:p>
    <w:p w14:paraId="60FF1A6F">
      <w:pPr>
        <w:pStyle w:val="10"/>
        <w:keepNext w:val="0"/>
        <w:keepLines w:val="0"/>
        <w:widowControl/>
        <w:suppressLineNumbers w:val="0"/>
        <w:spacing w:before="0" w:beforeAutospacing="1" w:after="0" w:afterAutospacing="1" w:line="500" w:lineRule="atLeast"/>
        <w:ind w:left="0" w:right="0" w:firstLine="643"/>
      </w:pPr>
      <w:r>
        <w:rPr>
          <w:b/>
          <w:bCs/>
          <w:sz w:val="32"/>
          <w:szCs w:val="32"/>
        </w:rPr>
        <w:t>5.</w:t>
      </w:r>
      <w:r>
        <w:rPr>
          <w:b/>
          <w:bCs/>
          <w:color w:val="000000"/>
          <w:sz w:val="32"/>
          <w:szCs w:val="32"/>
        </w:rPr>
        <w:t>验收方案</w:t>
      </w:r>
      <w:r>
        <w:t xml:space="preserve"> </w:t>
      </w:r>
    </w:p>
    <w:p w14:paraId="27C35B5D">
      <w:pPr>
        <w:pStyle w:val="10"/>
        <w:keepNext w:val="0"/>
        <w:keepLines w:val="0"/>
        <w:widowControl/>
        <w:suppressLineNumbers w:val="0"/>
        <w:spacing w:before="0" w:beforeAutospacing="1" w:after="0" w:afterAutospacing="1"/>
        <w:ind w:left="0" w:right="0" w:firstLine="640"/>
      </w:pPr>
      <w:r>
        <w:rPr>
          <w:color w:val="000000"/>
          <w:sz w:val="32"/>
          <w:szCs w:val="32"/>
        </w:rPr>
        <w:t>（1）送货安装前须采购人确认产品是否是投标的正规产品，审查配套资料清单是否齐全（硬件配置清单含序列号与生产日期、散热性能测试报告（室温25℃下的双卡+CPU烤机数据）、显存颗粒及主控芯片的《元器件溯源声明》供应商法人签字），经确认后方能安装调试；</w:t>
      </w:r>
      <w:r>
        <w:t xml:space="preserve"> </w:t>
      </w:r>
    </w:p>
    <w:p w14:paraId="58D9A06C">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（2）设备及系统正常运行1个月后进行性能验收，性能验收需供应商向信息管理科提交验收申请，按照招投标文件要求进行验收。逐项测试对以下内容：</w:t>
      </w:r>
      <w:r>
        <w:t xml:space="preserve"> </w:t>
      </w:r>
    </w:p>
    <w:tbl>
      <w:tblPr>
        <w:tblStyle w:val="13"/>
        <w:tblW w:w="10016"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08"/>
        <w:gridCol w:w="4656"/>
        <w:gridCol w:w="3952"/>
      </w:tblGrid>
      <w:tr w14:paraId="4901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F194530">
            <w:pPr>
              <w:pStyle w:val="10"/>
              <w:keepNext w:val="0"/>
              <w:keepLines w:val="0"/>
              <w:widowControl/>
              <w:suppressLineNumbers w:val="0"/>
              <w:spacing w:before="0" w:beforeAutospacing="1" w:after="0" w:afterAutospacing="1" w:line="320" w:lineRule="atLeast"/>
              <w:ind w:left="0" w:right="0"/>
            </w:pPr>
            <w:r>
              <w:rPr>
                <w:sz w:val="24"/>
                <w:szCs w:val="24"/>
              </w:rPr>
              <w:t>测试项目</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4F26B81">
            <w:pPr>
              <w:pStyle w:val="10"/>
              <w:keepNext w:val="0"/>
              <w:keepLines w:val="0"/>
              <w:widowControl/>
              <w:suppressLineNumbers w:val="0"/>
              <w:spacing w:before="0" w:beforeAutospacing="1" w:after="0" w:afterAutospacing="1" w:line="320" w:lineRule="atLeast"/>
              <w:ind w:left="0" w:right="0"/>
            </w:pPr>
            <w:r>
              <w:rPr>
                <w:sz w:val="24"/>
                <w:szCs w:val="24"/>
              </w:rPr>
              <w:t>合格指标</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56EE4FA8">
            <w:pPr>
              <w:pStyle w:val="10"/>
              <w:keepNext w:val="0"/>
              <w:keepLines w:val="0"/>
              <w:widowControl/>
              <w:suppressLineNumbers w:val="0"/>
              <w:spacing w:before="0" w:beforeAutospacing="1" w:after="0" w:afterAutospacing="1" w:line="320" w:lineRule="atLeast"/>
              <w:ind w:left="0" w:right="0"/>
            </w:pPr>
            <w:r>
              <w:rPr>
                <w:sz w:val="24"/>
                <w:szCs w:val="24"/>
              </w:rPr>
              <w:t>检测方法</w:t>
            </w:r>
            <w:r>
              <w:t xml:space="preserve"> </w:t>
            </w:r>
          </w:p>
        </w:tc>
      </w:tr>
      <w:tr w14:paraId="301F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89415B2">
            <w:pPr>
              <w:pStyle w:val="10"/>
              <w:keepNext w:val="0"/>
              <w:keepLines w:val="0"/>
              <w:widowControl/>
              <w:suppressLineNumbers w:val="0"/>
              <w:spacing w:before="0" w:beforeAutospacing="1" w:after="0" w:afterAutospacing="1" w:line="320" w:lineRule="atLeast"/>
              <w:ind w:left="0" w:right="0"/>
            </w:pPr>
            <w:r>
              <w:rPr>
                <w:sz w:val="24"/>
                <w:szCs w:val="24"/>
              </w:rPr>
              <w:t>计算性能</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8E60541">
            <w:pPr>
              <w:pStyle w:val="10"/>
              <w:keepNext w:val="0"/>
              <w:keepLines w:val="0"/>
              <w:widowControl/>
              <w:suppressLineNumbers w:val="0"/>
              <w:spacing w:before="0" w:beforeAutospacing="1" w:after="0" w:afterAutospacing="1" w:line="320" w:lineRule="atLeast"/>
              <w:ind w:left="0" w:right="0"/>
              <w:jc w:val="left"/>
            </w:pPr>
            <w:r>
              <w:rPr>
                <w:sz w:val="21"/>
                <w:szCs w:val="21"/>
              </w:rPr>
              <w:t>ResNet-50训练速度≥650 images/s（Batch=64）</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71B3388">
            <w:pPr>
              <w:pStyle w:val="10"/>
              <w:keepNext w:val="0"/>
              <w:keepLines w:val="0"/>
              <w:widowControl/>
              <w:suppressLineNumbers w:val="0"/>
              <w:spacing w:before="0" w:beforeAutospacing="1" w:after="0" w:afterAutospacing="1" w:line="320" w:lineRule="atLeast"/>
              <w:ind w:left="0" w:right="0"/>
              <w:jc w:val="left"/>
            </w:pPr>
            <w:r>
              <w:rPr>
                <w:sz w:val="21"/>
                <w:szCs w:val="21"/>
              </w:rPr>
              <w:t>PyTorch 2.3官方测试脚本</w:t>
            </w:r>
            <w:r>
              <w:t xml:space="preserve"> </w:t>
            </w:r>
          </w:p>
        </w:tc>
      </w:tr>
      <w:tr w14:paraId="743C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FD241D3">
            <w:pPr>
              <w:pStyle w:val="10"/>
              <w:keepNext w:val="0"/>
              <w:keepLines w:val="0"/>
              <w:widowControl/>
              <w:suppressLineNumbers w:val="0"/>
              <w:spacing w:before="0" w:beforeAutospacing="1" w:after="0" w:afterAutospacing="1" w:line="320" w:lineRule="atLeast"/>
              <w:ind w:left="0" w:right="0"/>
            </w:pPr>
            <w:r>
              <w:rPr>
                <w:sz w:val="24"/>
                <w:szCs w:val="24"/>
              </w:rPr>
              <w:t>系统稳定性</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37A5735">
            <w:pPr>
              <w:pStyle w:val="10"/>
              <w:keepNext w:val="0"/>
              <w:keepLines w:val="0"/>
              <w:widowControl/>
              <w:suppressLineNumbers w:val="0"/>
              <w:spacing w:before="0" w:beforeAutospacing="1" w:after="0" w:afterAutospacing="1" w:line="320" w:lineRule="atLeast"/>
              <w:ind w:left="0" w:right="0"/>
            </w:pPr>
            <w:r>
              <w:rPr>
                <w:sz w:val="24"/>
                <w:szCs w:val="24"/>
              </w:rPr>
              <w:t>连续24小时满载运行无蓝屏/死机</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7AE8CD6">
            <w:pPr>
              <w:pStyle w:val="10"/>
              <w:keepNext w:val="0"/>
              <w:keepLines w:val="0"/>
              <w:widowControl/>
              <w:suppressLineNumbers w:val="0"/>
              <w:spacing w:before="0" w:beforeAutospacing="1" w:after="0" w:afterAutospacing="1" w:line="320" w:lineRule="atLeast"/>
              <w:ind w:left="0" w:right="0"/>
            </w:pPr>
            <w:r>
              <w:rPr>
                <w:sz w:val="24"/>
                <w:szCs w:val="24"/>
              </w:rPr>
              <w:t>AIDA64/FurMark双烤测试</w:t>
            </w:r>
            <w:r>
              <w:t xml:space="preserve"> </w:t>
            </w:r>
          </w:p>
        </w:tc>
      </w:tr>
      <w:tr w14:paraId="724E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8DB8E8">
            <w:pPr>
              <w:pStyle w:val="10"/>
              <w:keepNext w:val="0"/>
              <w:keepLines w:val="0"/>
              <w:widowControl/>
              <w:suppressLineNumbers w:val="0"/>
              <w:spacing w:before="0" w:beforeAutospacing="1" w:after="0" w:afterAutospacing="1" w:line="320" w:lineRule="atLeast"/>
              <w:ind w:left="0" w:right="0"/>
            </w:pPr>
            <w:r>
              <w:rPr>
                <w:sz w:val="24"/>
                <w:szCs w:val="24"/>
              </w:rPr>
              <w:t>组件合规性</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F8556FE">
            <w:pPr>
              <w:pStyle w:val="10"/>
              <w:keepNext w:val="0"/>
              <w:keepLines w:val="0"/>
              <w:widowControl/>
              <w:suppressLineNumbers w:val="0"/>
              <w:spacing w:before="0" w:beforeAutospacing="1" w:after="0" w:afterAutospacing="1" w:line="320" w:lineRule="atLeast"/>
              <w:ind w:left="0" w:right="0"/>
              <w:jc w:val="left"/>
            </w:pPr>
            <w:r>
              <w:rPr>
                <w:sz w:val="21"/>
                <w:szCs w:val="21"/>
              </w:rPr>
              <w:t>无镁光及其他禁用组件</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F3F5803">
            <w:pPr>
              <w:pStyle w:val="10"/>
              <w:keepNext w:val="0"/>
              <w:keepLines w:val="0"/>
              <w:widowControl/>
              <w:suppressLineNumbers w:val="0"/>
              <w:spacing w:before="0" w:beforeAutospacing="1" w:after="0" w:afterAutospacing="1" w:line="320" w:lineRule="atLeast"/>
              <w:ind w:left="0" w:right="0"/>
              <w:jc w:val="left"/>
            </w:pPr>
            <w:r>
              <w:rPr>
                <w:sz w:val="21"/>
                <w:szCs w:val="21"/>
              </w:rPr>
              <w:t>硬件拆解或元器件编码溯源或软件检测</w:t>
            </w:r>
            <w:r>
              <w:t xml:space="preserve"> </w:t>
            </w:r>
          </w:p>
        </w:tc>
      </w:tr>
    </w:tbl>
    <w:p w14:paraId="714F849E">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（3）验收产生争议时由采购人择优选择第三方有资质的机构进行检测，验收费用由供应商承担。</w:t>
      </w:r>
      <w:r>
        <w:t xml:space="preserve"> </w:t>
      </w:r>
    </w:p>
    <w:p w14:paraId="79BF0BD7">
      <w:pPr>
        <w:pStyle w:val="10"/>
        <w:keepNext w:val="0"/>
        <w:keepLines w:val="0"/>
        <w:widowControl/>
        <w:suppressLineNumbers w:val="0"/>
        <w:spacing w:before="0" w:beforeAutospacing="1" w:after="0" w:afterAutospacing="1" w:line="500" w:lineRule="atLeast"/>
        <w:ind w:left="0" w:right="0" w:firstLine="643"/>
      </w:pPr>
      <w:r>
        <w:rPr>
          <w:b/>
          <w:bCs/>
          <w:color w:val="000000"/>
          <w:sz w:val="32"/>
          <w:szCs w:val="32"/>
        </w:rPr>
        <w:t>6.配套服务</w:t>
      </w:r>
      <w:r>
        <w:t xml:space="preserve"> </w:t>
      </w:r>
    </w:p>
    <w:p w14:paraId="51648A0D">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（1）产品生产日期要求：送货产品须为生日日期12个月内全新产品。</w:t>
      </w:r>
      <w:r>
        <w:t xml:space="preserve"> </w:t>
      </w:r>
    </w:p>
    <w:p w14:paraId="5B4FDE5A">
      <w:pPr>
        <w:pStyle w:val="10"/>
        <w:keepNext w:val="0"/>
        <w:keepLines w:val="0"/>
        <w:widowControl/>
        <w:suppressLineNumbers w:val="0"/>
        <w:spacing w:before="0" w:beforeAutospacing="1" w:after="0" w:afterAutospacing="1"/>
        <w:ind w:left="0" w:right="0" w:firstLine="640"/>
      </w:pPr>
      <w:r>
        <w:rPr>
          <w:color w:val="000000"/>
          <w:sz w:val="32"/>
          <w:szCs w:val="32"/>
        </w:rPr>
        <w:t>（2）产品质保期要求：整机3年上门保修，主板/显卡支持个人送保，关键部件（CPU/显卡/内存）故障48小时内响应，未及时响应将承担违约责任。质保期内产品突发故障的维修处理期限不计算到质保期，质保期限顺延。质保期届满后，供应商应免费提供电话咨询等服务，协助采购人处理故障。</w:t>
      </w:r>
      <w:r>
        <w:t xml:space="preserve"> </w:t>
      </w:r>
    </w:p>
    <w:p w14:paraId="71BA46AD">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（4）零配件及易损耗材要求：厂家承诺产品相关的零配件及易损耗材10年内继续生产供货，保障产品正常使用。</w:t>
      </w:r>
      <w:r>
        <w:rPr>
          <w:color w:val="000000"/>
          <w:sz w:val="32"/>
          <w:szCs w:val="32"/>
          <w:u w:val="single"/>
        </w:rPr>
        <w:t>如有，请单独提供一份零配件及易损耗材报价表，供采购人选择。</w:t>
      </w:r>
      <w:r>
        <w:t xml:space="preserve"> </w:t>
      </w:r>
    </w:p>
    <w:p w14:paraId="12B18982">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（5）产品交付前，应对具体使用人至少进行1次培训，包括操作培训及日常维护培训。</w:t>
      </w:r>
      <w:r>
        <w:t xml:space="preserve"> </w:t>
      </w:r>
    </w:p>
    <w:p w14:paraId="7D8A933E">
      <w:pPr>
        <w:pStyle w:val="10"/>
        <w:keepNext w:val="0"/>
        <w:keepLines w:val="0"/>
        <w:widowControl/>
        <w:suppressLineNumbers w:val="0"/>
        <w:spacing w:before="0" w:beforeAutospacing="1" w:after="0" w:afterAutospacing="1"/>
        <w:ind w:left="7" w:right="0" w:firstLine="857"/>
      </w:pPr>
      <w:r>
        <w:rPr>
          <w:color w:val="000000"/>
          <w:sz w:val="32"/>
          <w:szCs w:val="32"/>
        </w:rPr>
        <w:t>（6）技术服务要求：提供装机后的测试软件部署服务和深度学习环境部署支持（必要时）；7×12小时远程技术支持（含协助第三方进行TensorFlow/PyTorch框架调试）。</w:t>
      </w:r>
      <w:r>
        <w:t xml:space="preserve"> </w:t>
      </w:r>
    </w:p>
    <w:p w14:paraId="130FB3B7">
      <w:pPr>
        <w:pStyle w:val="10"/>
        <w:keepNext w:val="0"/>
        <w:keepLines w:val="0"/>
        <w:widowControl/>
        <w:suppressLineNumbers w:val="0"/>
        <w:spacing w:before="0" w:beforeAutospacing="1" w:after="0" w:afterAutospacing="1" w:line="500" w:lineRule="atLeast"/>
        <w:ind w:left="0" w:right="0" w:firstLine="643"/>
      </w:pPr>
      <w:r>
        <w:rPr>
          <w:b/>
          <w:bCs/>
          <w:color w:val="000000"/>
          <w:sz w:val="32"/>
          <w:szCs w:val="32"/>
        </w:rPr>
        <w:t>7.踏勘现场</w:t>
      </w:r>
      <w:r>
        <w:t xml:space="preserve"> </w:t>
      </w:r>
    </w:p>
    <w:p w14:paraId="5ADC43D4">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r>
        <w:t xml:space="preserve"> </w:t>
      </w:r>
    </w:p>
    <w:p w14:paraId="236F245A">
      <w:pPr>
        <w:pStyle w:val="10"/>
        <w:keepNext w:val="0"/>
        <w:keepLines w:val="0"/>
        <w:widowControl/>
        <w:suppressLineNumbers w:val="0"/>
        <w:spacing w:before="0" w:beforeAutospacing="1" w:after="0" w:afterAutospacing="1" w:line="500" w:lineRule="atLeast"/>
        <w:ind w:left="0" w:right="0" w:firstLine="643"/>
      </w:pPr>
      <w:r>
        <w:rPr>
          <w:b/>
          <w:bCs/>
          <w:color w:val="000000"/>
          <w:sz w:val="32"/>
          <w:szCs w:val="32"/>
        </w:rPr>
        <w:t>8.履约保证金</w:t>
      </w:r>
      <w:r>
        <w:t xml:space="preserve"> </w:t>
      </w:r>
    </w:p>
    <w:p w14:paraId="369D28AB">
      <w:pPr>
        <w:pStyle w:val="10"/>
        <w:keepNext w:val="0"/>
        <w:keepLines w:val="0"/>
        <w:widowControl/>
        <w:suppressLineNumbers w:val="0"/>
        <w:spacing w:before="0" w:beforeAutospacing="1" w:after="0" w:afterAutospacing="1" w:line="500" w:lineRule="atLeast"/>
        <w:ind w:left="0" w:right="0" w:firstLine="640"/>
      </w:pPr>
      <w:r>
        <w:rPr>
          <w:b w:val="0"/>
          <w:bCs w:val="0"/>
          <w:color w:val="000000"/>
          <w:sz w:val="32"/>
          <w:szCs w:val="32"/>
        </w:rPr>
        <w:t>无</w:t>
      </w:r>
      <w:r>
        <w:t xml:space="preserve"> </w:t>
      </w:r>
    </w:p>
    <w:p w14:paraId="5D174FB3">
      <w:pPr>
        <w:pStyle w:val="10"/>
        <w:keepNext w:val="0"/>
        <w:keepLines w:val="0"/>
        <w:widowControl/>
        <w:suppressLineNumbers w:val="0"/>
        <w:spacing w:before="0" w:beforeAutospacing="1" w:after="0" w:afterAutospacing="1" w:line="500" w:lineRule="atLeast"/>
        <w:ind w:left="0" w:right="0" w:firstLine="643"/>
      </w:pPr>
      <w:r>
        <w:rPr>
          <w:b/>
          <w:bCs/>
          <w:color w:val="000000"/>
          <w:sz w:val="32"/>
          <w:szCs w:val="32"/>
        </w:rPr>
        <w:t>9.违约责任</w:t>
      </w:r>
      <w:r>
        <w:t xml:space="preserve"> </w:t>
      </w:r>
    </w:p>
    <w:p w14:paraId="7DF6BAC0">
      <w:pPr>
        <w:pStyle w:val="10"/>
        <w:keepNext w:val="0"/>
        <w:keepLines w:val="0"/>
        <w:widowControl/>
        <w:suppressLineNumbers w:val="0"/>
        <w:spacing w:before="0" w:beforeAutospacing="1" w:after="0" w:afterAutospacing="1" w:line="500" w:lineRule="atLeast"/>
        <w:ind w:left="0" w:right="0" w:firstLine="640"/>
      </w:pPr>
      <w:r>
        <w:rPr>
          <w:b w:val="0"/>
          <w:bCs w:val="0"/>
          <w:color w:val="000000"/>
          <w:sz w:val="32"/>
          <w:szCs w:val="32"/>
        </w:rPr>
        <w:t>供应商未在约定期限交付产品，延迟每日支付千分之三的违约</w:t>
      </w:r>
      <w:r>
        <w:t xml:space="preserve"> </w:t>
      </w:r>
    </w:p>
    <w:p w14:paraId="34F8A90D">
      <w:pPr>
        <w:pStyle w:val="10"/>
        <w:keepNext w:val="0"/>
        <w:keepLines w:val="0"/>
        <w:widowControl/>
        <w:suppressLineNumbers w:val="0"/>
        <w:spacing w:before="0" w:beforeAutospacing="1" w:after="0" w:afterAutospacing="1" w:line="500" w:lineRule="atLeast"/>
        <w:ind w:left="0" w:right="0" w:firstLine="640"/>
      </w:pPr>
      <w:r>
        <w:rPr>
          <w:b w:val="0"/>
          <w:bCs w:val="0"/>
          <w:color w:val="000000"/>
          <w:sz w:val="32"/>
          <w:szCs w:val="32"/>
        </w:rPr>
        <w:t>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若发现使用禁用组件，供应商需承担合同金额20%违约金及退货费用；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r>
        <w:t xml:space="preserve"> </w:t>
      </w:r>
    </w:p>
    <w:p w14:paraId="08F3C119">
      <w:pPr>
        <w:pStyle w:val="10"/>
        <w:keepNext w:val="0"/>
        <w:keepLines w:val="0"/>
        <w:widowControl/>
        <w:suppressLineNumbers w:val="0"/>
        <w:spacing w:before="0" w:beforeAutospacing="1" w:after="0" w:afterAutospacing="1" w:line="500" w:lineRule="atLeast"/>
        <w:ind w:left="0" w:right="0" w:firstLine="643"/>
        <w:jc w:val="both"/>
      </w:pPr>
      <w:r>
        <w:rPr>
          <w:b/>
          <w:bCs/>
          <w:color w:val="000000"/>
          <w:sz w:val="32"/>
          <w:szCs w:val="32"/>
        </w:rPr>
        <w:t>10.合同终止情形</w:t>
      </w:r>
      <w:r>
        <w:t xml:space="preserve"> </w:t>
      </w:r>
    </w:p>
    <w:p w14:paraId="65C27ECD">
      <w:pPr>
        <w:pStyle w:val="10"/>
        <w:keepNext w:val="0"/>
        <w:keepLines w:val="0"/>
        <w:widowControl/>
        <w:suppressLineNumbers w:val="0"/>
        <w:spacing w:before="0" w:beforeAutospacing="1" w:after="0" w:afterAutospacing="1" w:line="500" w:lineRule="atLeast"/>
        <w:ind w:left="0" w:right="0" w:firstLine="640"/>
      </w:pPr>
      <w:r>
        <w:rPr>
          <w:b w:val="0"/>
          <w:bCs w:val="0"/>
          <w:color w:val="000000"/>
          <w:sz w:val="32"/>
          <w:szCs w:val="32"/>
        </w:rPr>
        <w:t>供应商在合同期内连续发生2次违约行为；供应商及其产品出现不良事件；供应商发生廉洁违纪行为；供应商主动放弃等</w:t>
      </w:r>
      <w:r>
        <w:t xml:space="preserve"> </w:t>
      </w:r>
    </w:p>
    <w:p w14:paraId="1CECC487">
      <w:pPr>
        <w:pStyle w:val="10"/>
        <w:keepNext w:val="0"/>
        <w:keepLines w:val="0"/>
        <w:widowControl/>
        <w:suppressLineNumbers w:val="0"/>
        <w:spacing w:before="0" w:beforeAutospacing="1" w:after="0" w:afterAutospacing="1" w:line="500" w:lineRule="atLeast"/>
        <w:ind w:left="0" w:right="0" w:firstLine="643"/>
      </w:pPr>
      <w:r>
        <w:rPr>
          <w:b/>
          <w:bCs/>
          <w:color w:val="000000"/>
          <w:sz w:val="32"/>
          <w:szCs w:val="32"/>
        </w:rPr>
        <w:t>11.中选标准</w:t>
      </w:r>
      <w:r>
        <w:t xml:space="preserve"> </w:t>
      </w:r>
    </w:p>
    <w:p w14:paraId="7C90AD8D">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本项目采用最低评标价法评选。如超出投标报价、未在规定的时间内上交资料及资料不齐全的为无效报价。</w:t>
      </w:r>
      <w:r>
        <w:t xml:space="preserve"> </w:t>
      </w:r>
    </w:p>
    <w:p w14:paraId="0B2E8026">
      <w:pPr>
        <w:pStyle w:val="10"/>
        <w:keepNext w:val="0"/>
        <w:keepLines w:val="0"/>
        <w:widowControl/>
        <w:suppressLineNumbers w:val="0"/>
        <w:spacing w:before="0" w:beforeAutospacing="1" w:after="0" w:afterAutospacing="1" w:line="500" w:lineRule="atLeast"/>
        <w:ind w:left="0" w:right="0" w:firstLine="643"/>
        <w:jc w:val="both"/>
      </w:pPr>
      <w:r>
        <w:rPr>
          <w:b/>
          <w:bCs/>
          <w:color w:val="000000"/>
          <w:sz w:val="32"/>
          <w:szCs w:val="32"/>
        </w:rPr>
        <w:t>12.其他要求</w:t>
      </w:r>
      <w:r>
        <w:t xml:space="preserve"> </w:t>
      </w:r>
    </w:p>
    <w:p w14:paraId="2CF4FAAE">
      <w:pPr>
        <w:pStyle w:val="10"/>
        <w:keepNext w:val="0"/>
        <w:keepLines w:val="0"/>
        <w:widowControl/>
        <w:suppressLineNumbers w:val="0"/>
        <w:spacing w:before="0" w:beforeAutospacing="1" w:after="0" w:afterAutospacing="1" w:line="500" w:lineRule="atLeast"/>
        <w:ind w:left="0" w:right="0" w:firstLine="640"/>
      </w:pPr>
      <w:r>
        <w:rPr>
          <w:color w:val="000000"/>
          <w:sz w:val="32"/>
          <w:szCs w:val="32"/>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⑩供应商响应文件内容有与国家现行法律法规相违背的内容，或附有采购人无法接受的条件。（9）供应商有以下情形之一的，将纳入不良行为记录，</w:t>
      </w:r>
      <w:r>
        <w:rPr>
          <w:b/>
          <w:bCs/>
          <w:color w:val="000000"/>
          <w:sz w:val="32"/>
          <w:szCs w:val="32"/>
        </w:rPr>
        <w:t>采购人将终止与供应商合同，并取消其两年内参加采购人的药品、设备、耗材招标投标的资格</w:t>
      </w:r>
      <w:r>
        <w:rPr>
          <w:color w:val="000000"/>
          <w:sz w:val="32"/>
          <w:szCs w:val="32"/>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0402BAB8">
      <w:pP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7FA8D32C">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宋体"/>
          <w:b/>
          <w:color w:val="auto"/>
          <w:kern w:val="2"/>
          <w:sz w:val="24"/>
          <w:szCs w:val="24"/>
          <w:lang w:val="en-US" w:eastAsia="zh-CN" w:bidi="ar-SA"/>
        </w:rPr>
      </w:pPr>
      <w:r>
        <w:rPr>
          <w:rFonts w:hint="eastAsia" w:ascii="仿宋_GB2312" w:hAnsi="Arial" w:eastAsia="仿宋_GB2312" w:cs="宋体"/>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ascii="宋体" w:hAnsi="宋体" w:eastAsia="宋体" w:cs="宋体"/>
          <w:color w:val="000000"/>
          <w:sz w:val="32"/>
          <w:szCs w:val="32"/>
        </w:rPr>
        <w:t>提供2项销售的类似业绩（含合同及付款凭据）；承诺不采用任何受制裁技术路径（如CUDA锁区版本）；提供技术支持团队证明；其他包括但不限于国家现行或最新的法律法规要求必须</w:t>
      </w:r>
      <w:r>
        <w:rPr>
          <w:rFonts w:ascii="宋体" w:hAnsi="宋体" w:eastAsia="宋体" w:cs="宋体"/>
          <w:sz w:val="32"/>
          <w:szCs w:val="32"/>
        </w:rPr>
        <w:t>具备的资格，供应商不能满足特定资格条件要求的不能参与投标</w:t>
      </w:r>
      <w:r>
        <w:rPr>
          <w:rFonts w:ascii="宋体" w:hAnsi="宋体" w:eastAsia="宋体" w:cs="宋体"/>
          <w:color w:val="000000"/>
          <w:sz w:val="32"/>
          <w:szCs w:val="32"/>
        </w:rPr>
        <w:t>。</w:t>
      </w:r>
    </w:p>
    <w:p w14:paraId="68ADF07F">
      <w:pPr>
        <w:rPr>
          <w:rFonts w:hint="eastAsia" w:ascii="仿宋_GB2312" w:hAnsi="Arial" w:eastAsia="仿宋_GB2312" w:cs="宋体"/>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00703544">
      <w:pPr>
        <w:jc w:val="left"/>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宋体"/>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宋体"/>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3818170">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3677399"/>
      <w:bookmarkStart w:id="2" w:name="_Toc128229304"/>
      <w:bookmarkStart w:id="3" w:name="_Toc156196472"/>
      <w:bookmarkStart w:id="4" w:name="_Toc128229747"/>
      <w:bookmarkStart w:id="5" w:name="_Toc237057793"/>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宋体"/>
          <w:b/>
          <w:color w:val="auto"/>
          <w:kern w:val="2"/>
          <w:sz w:val="28"/>
          <w:szCs w:val="28"/>
          <w:lang w:val="en-US" w:eastAsia="zh-CN" w:bidi="ar-SA"/>
        </w:rPr>
      </w:pPr>
    </w:p>
    <w:p w14:paraId="13835B1E">
      <w:pPr>
        <w:rPr>
          <w:rFonts w:hint="eastAsia"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宋体"/>
          <w:b/>
          <w:color w:val="auto"/>
          <w:kern w:val="2"/>
          <w:sz w:val="28"/>
          <w:szCs w:val="28"/>
          <w:lang w:val="en-US" w:eastAsia="zh-CN" w:bidi="ar-SA"/>
        </w:rPr>
      </w:pPr>
      <w:r>
        <w:rPr>
          <w:rFonts w:hint="eastAsia" w:ascii="仿宋_GB2312" w:hAnsi="Arial" w:eastAsia="仿宋_GB2312" w:cs="宋体"/>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XSpec="left"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vAlign w:val="center"/>
          </w:tcPr>
          <w:p w14:paraId="6BC315E6">
            <w:pPr>
              <w:spacing w:line="300" w:lineRule="exact"/>
              <w:rPr>
                <w:rFonts w:ascii="微软雅黑" w:hAnsi="微软雅黑" w:eastAsia="微软雅黑" w:cs="微软雅黑"/>
                <w:sz w:val="24"/>
                <w:szCs w:val="24"/>
              </w:rPr>
            </w:pPr>
          </w:p>
        </w:tc>
        <w:tc>
          <w:tcPr>
            <w:tcW w:w="1559" w:type="dxa"/>
          </w:tcPr>
          <w:p w14:paraId="764B2900">
            <w:pPr>
              <w:spacing w:line="300" w:lineRule="exact"/>
              <w:rPr>
                <w:rFonts w:ascii="微软雅黑" w:hAnsi="微软雅黑" w:eastAsia="微软雅黑" w:cs="微软雅黑"/>
                <w:sz w:val="24"/>
                <w:szCs w:val="24"/>
              </w:rPr>
            </w:pPr>
          </w:p>
        </w:tc>
        <w:tc>
          <w:tcPr>
            <w:tcW w:w="1701" w:type="dxa"/>
          </w:tcPr>
          <w:p w14:paraId="28F45962">
            <w:pPr>
              <w:spacing w:line="300" w:lineRule="exact"/>
              <w:rPr>
                <w:rFonts w:ascii="微软雅黑" w:hAnsi="微软雅黑" w:eastAsia="微软雅黑" w:cs="微软雅黑"/>
                <w:sz w:val="24"/>
                <w:szCs w:val="24"/>
              </w:rPr>
            </w:pPr>
          </w:p>
        </w:tc>
        <w:tc>
          <w:tcPr>
            <w:tcW w:w="1134" w:type="dxa"/>
            <w:vAlign w:val="center"/>
          </w:tcPr>
          <w:p w14:paraId="1EF8BF9F">
            <w:pPr>
              <w:spacing w:line="300" w:lineRule="exact"/>
              <w:rPr>
                <w:rFonts w:ascii="微软雅黑" w:hAnsi="微软雅黑" w:eastAsia="微软雅黑" w:cs="微软雅黑"/>
                <w:sz w:val="24"/>
                <w:szCs w:val="24"/>
              </w:rPr>
            </w:pPr>
          </w:p>
        </w:tc>
        <w:tc>
          <w:tcPr>
            <w:tcW w:w="1276" w:type="dxa"/>
          </w:tcPr>
          <w:p w14:paraId="3F2A513E">
            <w:pPr>
              <w:spacing w:line="300" w:lineRule="exact"/>
              <w:rPr>
                <w:rFonts w:ascii="微软雅黑" w:hAnsi="微软雅黑" w:eastAsia="微软雅黑" w:cs="微软雅黑"/>
                <w:sz w:val="24"/>
                <w:szCs w:val="24"/>
              </w:rPr>
            </w:pPr>
          </w:p>
        </w:tc>
        <w:tc>
          <w:tcPr>
            <w:tcW w:w="1275" w:type="dxa"/>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vAlign w:val="center"/>
          </w:tcPr>
          <w:p w14:paraId="7E61EDAE">
            <w:pPr>
              <w:spacing w:line="300" w:lineRule="exact"/>
              <w:rPr>
                <w:rFonts w:ascii="微软雅黑" w:hAnsi="微软雅黑" w:eastAsia="微软雅黑" w:cs="微软雅黑"/>
                <w:sz w:val="24"/>
                <w:szCs w:val="24"/>
              </w:rPr>
            </w:pPr>
          </w:p>
        </w:tc>
        <w:tc>
          <w:tcPr>
            <w:tcW w:w="1559" w:type="dxa"/>
          </w:tcPr>
          <w:p w14:paraId="49AAE716">
            <w:pPr>
              <w:spacing w:line="300" w:lineRule="exact"/>
              <w:rPr>
                <w:rFonts w:ascii="微软雅黑" w:hAnsi="微软雅黑" w:eastAsia="微软雅黑" w:cs="微软雅黑"/>
                <w:sz w:val="24"/>
                <w:szCs w:val="24"/>
              </w:rPr>
            </w:pPr>
          </w:p>
        </w:tc>
        <w:tc>
          <w:tcPr>
            <w:tcW w:w="1701" w:type="dxa"/>
          </w:tcPr>
          <w:p w14:paraId="5159DEE2">
            <w:pPr>
              <w:spacing w:line="300" w:lineRule="exact"/>
              <w:rPr>
                <w:rFonts w:ascii="微软雅黑" w:hAnsi="微软雅黑" w:eastAsia="微软雅黑" w:cs="微软雅黑"/>
                <w:sz w:val="24"/>
                <w:szCs w:val="24"/>
              </w:rPr>
            </w:pPr>
          </w:p>
        </w:tc>
        <w:tc>
          <w:tcPr>
            <w:tcW w:w="1134" w:type="dxa"/>
            <w:vAlign w:val="center"/>
          </w:tcPr>
          <w:p w14:paraId="0C02AD95">
            <w:pPr>
              <w:spacing w:line="300" w:lineRule="exact"/>
              <w:rPr>
                <w:rFonts w:ascii="微软雅黑" w:hAnsi="微软雅黑" w:eastAsia="微软雅黑" w:cs="微软雅黑"/>
                <w:sz w:val="24"/>
                <w:szCs w:val="24"/>
              </w:rPr>
            </w:pPr>
          </w:p>
        </w:tc>
        <w:tc>
          <w:tcPr>
            <w:tcW w:w="1276" w:type="dxa"/>
          </w:tcPr>
          <w:p w14:paraId="37B6C834">
            <w:pPr>
              <w:spacing w:line="300" w:lineRule="exact"/>
              <w:rPr>
                <w:rFonts w:ascii="微软雅黑" w:hAnsi="微软雅黑" w:eastAsia="微软雅黑" w:cs="微软雅黑"/>
                <w:sz w:val="24"/>
                <w:szCs w:val="24"/>
              </w:rPr>
            </w:pPr>
          </w:p>
        </w:tc>
        <w:tc>
          <w:tcPr>
            <w:tcW w:w="1275" w:type="dxa"/>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vAlign w:val="center"/>
          </w:tcPr>
          <w:p w14:paraId="5405905E">
            <w:pPr>
              <w:spacing w:line="300" w:lineRule="exact"/>
              <w:rPr>
                <w:rFonts w:ascii="微软雅黑" w:hAnsi="微软雅黑" w:eastAsia="微软雅黑" w:cs="微软雅黑"/>
                <w:sz w:val="24"/>
                <w:szCs w:val="24"/>
              </w:rPr>
            </w:pPr>
          </w:p>
        </w:tc>
        <w:tc>
          <w:tcPr>
            <w:tcW w:w="1559" w:type="dxa"/>
          </w:tcPr>
          <w:p w14:paraId="1E8F4A1D">
            <w:pPr>
              <w:spacing w:line="300" w:lineRule="exact"/>
              <w:rPr>
                <w:rFonts w:ascii="微软雅黑" w:hAnsi="微软雅黑" w:eastAsia="微软雅黑" w:cs="微软雅黑"/>
                <w:sz w:val="24"/>
                <w:szCs w:val="24"/>
              </w:rPr>
            </w:pPr>
          </w:p>
        </w:tc>
        <w:tc>
          <w:tcPr>
            <w:tcW w:w="1701" w:type="dxa"/>
          </w:tcPr>
          <w:p w14:paraId="71FC69D9">
            <w:pPr>
              <w:spacing w:line="300" w:lineRule="exact"/>
              <w:rPr>
                <w:rFonts w:ascii="微软雅黑" w:hAnsi="微软雅黑" w:eastAsia="微软雅黑" w:cs="微软雅黑"/>
                <w:sz w:val="24"/>
                <w:szCs w:val="24"/>
              </w:rPr>
            </w:pPr>
          </w:p>
        </w:tc>
        <w:tc>
          <w:tcPr>
            <w:tcW w:w="1134" w:type="dxa"/>
            <w:vAlign w:val="center"/>
          </w:tcPr>
          <w:p w14:paraId="2F923AAC">
            <w:pPr>
              <w:spacing w:line="300" w:lineRule="exact"/>
              <w:rPr>
                <w:rFonts w:ascii="微软雅黑" w:hAnsi="微软雅黑" w:eastAsia="微软雅黑" w:cs="微软雅黑"/>
                <w:sz w:val="24"/>
                <w:szCs w:val="24"/>
              </w:rPr>
            </w:pPr>
          </w:p>
        </w:tc>
        <w:tc>
          <w:tcPr>
            <w:tcW w:w="1276" w:type="dxa"/>
          </w:tcPr>
          <w:p w14:paraId="15AC0646">
            <w:pPr>
              <w:spacing w:line="300" w:lineRule="exact"/>
              <w:rPr>
                <w:rFonts w:ascii="微软雅黑" w:hAnsi="微软雅黑" w:eastAsia="微软雅黑" w:cs="微软雅黑"/>
                <w:sz w:val="24"/>
                <w:szCs w:val="24"/>
              </w:rPr>
            </w:pPr>
          </w:p>
        </w:tc>
        <w:tc>
          <w:tcPr>
            <w:tcW w:w="1275" w:type="dxa"/>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vAlign w:val="center"/>
          </w:tcPr>
          <w:p w14:paraId="072D291C">
            <w:pPr>
              <w:spacing w:line="300" w:lineRule="exact"/>
              <w:rPr>
                <w:rFonts w:ascii="微软雅黑" w:hAnsi="微软雅黑" w:eastAsia="微软雅黑" w:cs="微软雅黑"/>
                <w:sz w:val="24"/>
                <w:szCs w:val="24"/>
              </w:rPr>
            </w:pPr>
          </w:p>
        </w:tc>
        <w:tc>
          <w:tcPr>
            <w:tcW w:w="1559" w:type="dxa"/>
          </w:tcPr>
          <w:p w14:paraId="490BC7C9">
            <w:pPr>
              <w:spacing w:line="300" w:lineRule="exact"/>
              <w:rPr>
                <w:rFonts w:ascii="微软雅黑" w:hAnsi="微软雅黑" w:eastAsia="微软雅黑" w:cs="微软雅黑"/>
                <w:sz w:val="24"/>
                <w:szCs w:val="24"/>
              </w:rPr>
            </w:pPr>
          </w:p>
        </w:tc>
        <w:tc>
          <w:tcPr>
            <w:tcW w:w="1701" w:type="dxa"/>
          </w:tcPr>
          <w:p w14:paraId="36079B4B">
            <w:pPr>
              <w:spacing w:line="300" w:lineRule="exact"/>
              <w:rPr>
                <w:rFonts w:ascii="微软雅黑" w:hAnsi="微软雅黑" w:eastAsia="微软雅黑" w:cs="微软雅黑"/>
                <w:sz w:val="24"/>
                <w:szCs w:val="24"/>
              </w:rPr>
            </w:pPr>
          </w:p>
        </w:tc>
        <w:tc>
          <w:tcPr>
            <w:tcW w:w="1134" w:type="dxa"/>
            <w:vAlign w:val="center"/>
          </w:tcPr>
          <w:p w14:paraId="30EAE67B">
            <w:pPr>
              <w:spacing w:line="300" w:lineRule="exact"/>
              <w:rPr>
                <w:rFonts w:ascii="微软雅黑" w:hAnsi="微软雅黑" w:eastAsia="微软雅黑" w:cs="微软雅黑"/>
                <w:sz w:val="24"/>
                <w:szCs w:val="24"/>
              </w:rPr>
            </w:pPr>
          </w:p>
        </w:tc>
        <w:tc>
          <w:tcPr>
            <w:tcW w:w="1276" w:type="dxa"/>
          </w:tcPr>
          <w:p w14:paraId="07FF33B2">
            <w:pPr>
              <w:spacing w:line="300" w:lineRule="exact"/>
              <w:rPr>
                <w:rFonts w:ascii="微软雅黑" w:hAnsi="微软雅黑" w:eastAsia="微软雅黑" w:cs="微软雅黑"/>
                <w:sz w:val="24"/>
                <w:szCs w:val="24"/>
              </w:rPr>
            </w:pPr>
          </w:p>
        </w:tc>
        <w:tc>
          <w:tcPr>
            <w:tcW w:w="1275" w:type="dxa"/>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vAlign w:val="center"/>
          </w:tcPr>
          <w:p w14:paraId="0F6D1D0A">
            <w:pPr>
              <w:spacing w:line="300" w:lineRule="exact"/>
              <w:rPr>
                <w:rFonts w:ascii="微软雅黑" w:hAnsi="微软雅黑" w:eastAsia="微软雅黑" w:cs="微软雅黑"/>
                <w:sz w:val="24"/>
                <w:szCs w:val="24"/>
              </w:rPr>
            </w:pPr>
          </w:p>
        </w:tc>
        <w:tc>
          <w:tcPr>
            <w:tcW w:w="1559" w:type="dxa"/>
          </w:tcPr>
          <w:p w14:paraId="31786AD8">
            <w:pPr>
              <w:spacing w:line="300" w:lineRule="exact"/>
              <w:rPr>
                <w:rFonts w:ascii="微软雅黑" w:hAnsi="微软雅黑" w:eastAsia="微软雅黑" w:cs="微软雅黑"/>
                <w:sz w:val="24"/>
                <w:szCs w:val="24"/>
              </w:rPr>
            </w:pPr>
          </w:p>
        </w:tc>
        <w:tc>
          <w:tcPr>
            <w:tcW w:w="1701" w:type="dxa"/>
          </w:tcPr>
          <w:p w14:paraId="0797A589">
            <w:pPr>
              <w:spacing w:line="300" w:lineRule="exact"/>
              <w:rPr>
                <w:rFonts w:ascii="微软雅黑" w:hAnsi="微软雅黑" w:eastAsia="微软雅黑" w:cs="微软雅黑"/>
                <w:sz w:val="24"/>
                <w:szCs w:val="24"/>
              </w:rPr>
            </w:pPr>
          </w:p>
        </w:tc>
        <w:tc>
          <w:tcPr>
            <w:tcW w:w="1134" w:type="dxa"/>
            <w:vAlign w:val="center"/>
          </w:tcPr>
          <w:p w14:paraId="5FF79B57">
            <w:pPr>
              <w:spacing w:line="300" w:lineRule="exact"/>
              <w:rPr>
                <w:rFonts w:ascii="微软雅黑" w:hAnsi="微软雅黑" w:eastAsia="微软雅黑" w:cs="微软雅黑"/>
                <w:sz w:val="24"/>
                <w:szCs w:val="24"/>
              </w:rPr>
            </w:pPr>
          </w:p>
        </w:tc>
        <w:tc>
          <w:tcPr>
            <w:tcW w:w="1276" w:type="dxa"/>
          </w:tcPr>
          <w:p w14:paraId="2931B899">
            <w:pPr>
              <w:spacing w:line="300" w:lineRule="exact"/>
              <w:rPr>
                <w:rFonts w:ascii="微软雅黑" w:hAnsi="微软雅黑" w:eastAsia="微软雅黑" w:cs="微软雅黑"/>
                <w:sz w:val="24"/>
                <w:szCs w:val="24"/>
              </w:rPr>
            </w:pPr>
          </w:p>
        </w:tc>
        <w:tc>
          <w:tcPr>
            <w:tcW w:w="1275" w:type="dxa"/>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vAlign w:val="center"/>
          </w:tcPr>
          <w:p w14:paraId="0576858F">
            <w:pPr>
              <w:spacing w:line="300" w:lineRule="exact"/>
              <w:rPr>
                <w:rFonts w:ascii="微软雅黑" w:hAnsi="微软雅黑" w:eastAsia="微软雅黑" w:cs="微软雅黑"/>
                <w:sz w:val="24"/>
                <w:szCs w:val="24"/>
              </w:rPr>
            </w:pPr>
          </w:p>
        </w:tc>
        <w:tc>
          <w:tcPr>
            <w:tcW w:w="1559" w:type="dxa"/>
          </w:tcPr>
          <w:p w14:paraId="4FE065E3">
            <w:pPr>
              <w:spacing w:line="300" w:lineRule="exact"/>
              <w:rPr>
                <w:rFonts w:ascii="微软雅黑" w:hAnsi="微软雅黑" w:eastAsia="微软雅黑" w:cs="微软雅黑"/>
                <w:sz w:val="24"/>
                <w:szCs w:val="24"/>
              </w:rPr>
            </w:pPr>
          </w:p>
        </w:tc>
        <w:tc>
          <w:tcPr>
            <w:tcW w:w="1701" w:type="dxa"/>
          </w:tcPr>
          <w:p w14:paraId="2F361E4C">
            <w:pPr>
              <w:spacing w:line="300" w:lineRule="exact"/>
              <w:rPr>
                <w:rFonts w:ascii="微软雅黑" w:hAnsi="微软雅黑" w:eastAsia="微软雅黑" w:cs="微软雅黑"/>
                <w:sz w:val="24"/>
                <w:szCs w:val="24"/>
              </w:rPr>
            </w:pPr>
          </w:p>
        </w:tc>
        <w:tc>
          <w:tcPr>
            <w:tcW w:w="1134" w:type="dxa"/>
            <w:vAlign w:val="center"/>
          </w:tcPr>
          <w:p w14:paraId="168E28CD">
            <w:pPr>
              <w:spacing w:line="300" w:lineRule="exact"/>
              <w:rPr>
                <w:rFonts w:ascii="微软雅黑" w:hAnsi="微软雅黑" w:eastAsia="微软雅黑" w:cs="微软雅黑"/>
                <w:sz w:val="24"/>
                <w:szCs w:val="24"/>
              </w:rPr>
            </w:pPr>
          </w:p>
        </w:tc>
        <w:tc>
          <w:tcPr>
            <w:tcW w:w="1276" w:type="dxa"/>
          </w:tcPr>
          <w:p w14:paraId="1F3403C8">
            <w:pPr>
              <w:spacing w:line="300" w:lineRule="exact"/>
              <w:rPr>
                <w:rFonts w:ascii="微软雅黑" w:hAnsi="微软雅黑" w:eastAsia="微软雅黑" w:cs="微软雅黑"/>
                <w:sz w:val="24"/>
                <w:szCs w:val="24"/>
              </w:rPr>
            </w:pPr>
          </w:p>
        </w:tc>
        <w:tc>
          <w:tcPr>
            <w:tcW w:w="1275" w:type="dxa"/>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tcPr>
          <w:p w14:paraId="5F00180A">
            <w:pPr>
              <w:spacing w:line="300" w:lineRule="exact"/>
              <w:rPr>
                <w:rFonts w:ascii="微软雅黑" w:hAnsi="微软雅黑" w:eastAsia="微软雅黑" w:cs="微软雅黑"/>
                <w:sz w:val="24"/>
                <w:szCs w:val="24"/>
              </w:rPr>
            </w:pPr>
          </w:p>
        </w:tc>
        <w:tc>
          <w:tcPr>
            <w:tcW w:w="1701" w:type="dxa"/>
          </w:tcPr>
          <w:p w14:paraId="1B7DD24F">
            <w:pPr>
              <w:spacing w:line="300" w:lineRule="exact"/>
              <w:rPr>
                <w:rFonts w:ascii="微软雅黑" w:hAnsi="微软雅黑" w:eastAsia="微软雅黑" w:cs="微软雅黑"/>
                <w:sz w:val="24"/>
                <w:szCs w:val="24"/>
              </w:rPr>
            </w:pPr>
          </w:p>
        </w:tc>
        <w:tc>
          <w:tcPr>
            <w:tcW w:w="1134" w:type="dxa"/>
            <w:vAlign w:val="center"/>
          </w:tcPr>
          <w:p w14:paraId="460A705A">
            <w:pPr>
              <w:spacing w:line="300" w:lineRule="exact"/>
              <w:rPr>
                <w:rFonts w:ascii="微软雅黑" w:hAnsi="微软雅黑" w:eastAsia="微软雅黑" w:cs="微软雅黑"/>
                <w:sz w:val="24"/>
                <w:szCs w:val="24"/>
              </w:rPr>
            </w:pPr>
          </w:p>
        </w:tc>
        <w:tc>
          <w:tcPr>
            <w:tcW w:w="1276" w:type="dxa"/>
          </w:tcPr>
          <w:p w14:paraId="0E4F5168">
            <w:pPr>
              <w:spacing w:line="300" w:lineRule="exact"/>
              <w:rPr>
                <w:rFonts w:ascii="微软雅黑" w:hAnsi="微软雅黑" w:eastAsia="微软雅黑" w:cs="微软雅黑"/>
                <w:sz w:val="24"/>
                <w:szCs w:val="24"/>
              </w:rPr>
            </w:pPr>
          </w:p>
        </w:tc>
        <w:tc>
          <w:tcPr>
            <w:tcW w:w="1275" w:type="dxa"/>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tcPr>
          <w:p w14:paraId="4B5AC615">
            <w:pPr>
              <w:spacing w:line="300" w:lineRule="exact"/>
              <w:rPr>
                <w:rFonts w:ascii="微软雅黑" w:hAnsi="微软雅黑" w:eastAsia="微软雅黑" w:cs="微软雅黑"/>
                <w:sz w:val="24"/>
                <w:szCs w:val="24"/>
              </w:rPr>
            </w:pPr>
          </w:p>
        </w:tc>
        <w:tc>
          <w:tcPr>
            <w:tcW w:w="1701" w:type="dxa"/>
          </w:tcPr>
          <w:p w14:paraId="648C78E8">
            <w:pPr>
              <w:spacing w:line="300" w:lineRule="exact"/>
              <w:rPr>
                <w:rFonts w:ascii="微软雅黑" w:hAnsi="微软雅黑" w:eastAsia="微软雅黑" w:cs="微软雅黑"/>
                <w:sz w:val="24"/>
                <w:szCs w:val="24"/>
              </w:rPr>
            </w:pPr>
          </w:p>
        </w:tc>
        <w:tc>
          <w:tcPr>
            <w:tcW w:w="1134" w:type="dxa"/>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70C46B7">
            <w:pPr>
              <w:spacing w:line="300" w:lineRule="exact"/>
              <w:rPr>
                <w:rFonts w:ascii="微软雅黑" w:hAnsi="微软雅黑" w:eastAsia="微软雅黑" w:cs="微软雅黑"/>
                <w:sz w:val="24"/>
                <w:szCs w:val="24"/>
              </w:rPr>
            </w:pPr>
          </w:p>
        </w:tc>
        <w:tc>
          <w:tcPr>
            <w:tcW w:w="1275" w:type="dxa"/>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tcPr>
          <w:p w14:paraId="4CBB5A4D">
            <w:pPr>
              <w:spacing w:line="300" w:lineRule="exact"/>
              <w:rPr>
                <w:rFonts w:ascii="微软雅黑" w:hAnsi="微软雅黑" w:eastAsia="微软雅黑" w:cs="微软雅黑"/>
                <w:sz w:val="24"/>
                <w:szCs w:val="24"/>
              </w:rPr>
            </w:pPr>
          </w:p>
        </w:tc>
        <w:tc>
          <w:tcPr>
            <w:tcW w:w="1701" w:type="dxa"/>
          </w:tcPr>
          <w:p w14:paraId="2BE7367A">
            <w:pPr>
              <w:spacing w:line="300" w:lineRule="exact"/>
              <w:rPr>
                <w:rFonts w:ascii="微软雅黑" w:hAnsi="微软雅黑" w:eastAsia="微软雅黑" w:cs="微软雅黑"/>
                <w:sz w:val="24"/>
                <w:szCs w:val="24"/>
              </w:rPr>
            </w:pPr>
          </w:p>
        </w:tc>
        <w:tc>
          <w:tcPr>
            <w:tcW w:w="1134" w:type="dxa"/>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189C4E77">
            <w:pPr>
              <w:spacing w:line="300" w:lineRule="exact"/>
              <w:rPr>
                <w:rFonts w:ascii="微软雅黑" w:hAnsi="微软雅黑" w:eastAsia="微软雅黑" w:cs="微软雅黑"/>
                <w:sz w:val="24"/>
                <w:szCs w:val="24"/>
              </w:rPr>
            </w:pPr>
          </w:p>
        </w:tc>
        <w:tc>
          <w:tcPr>
            <w:tcW w:w="1275" w:type="dxa"/>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tcPr>
          <w:p w14:paraId="2F453EE4">
            <w:pPr>
              <w:spacing w:line="300" w:lineRule="exact"/>
              <w:rPr>
                <w:rFonts w:ascii="微软雅黑" w:hAnsi="微软雅黑" w:eastAsia="微软雅黑" w:cs="微软雅黑"/>
                <w:sz w:val="24"/>
                <w:szCs w:val="24"/>
              </w:rPr>
            </w:pPr>
          </w:p>
        </w:tc>
        <w:tc>
          <w:tcPr>
            <w:tcW w:w="1701" w:type="dxa"/>
          </w:tcPr>
          <w:p w14:paraId="0FAA9DE2">
            <w:pPr>
              <w:spacing w:line="300" w:lineRule="exact"/>
              <w:rPr>
                <w:rFonts w:ascii="微软雅黑" w:hAnsi="微软雅黑" w:eastAsia="微软雅黑" w:cs="微软雅黑"/>
                <w:sz w:val="24"/>
                <w:szCs w:val="24"/>
              </w:rPr>
            </w:pPr>
          </w:p>
        </w:tc>
        <w:tc>
          <w:tcPr>
            <w:tcW w:w="1134" w:type="dxa"/>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6A115EA7">
            <w:pPr>
              <w:spacing w:line="300" w:lineRule="exact"/>
              <w:rPr>
                <w:rFonts w:ascii="微软雅黑" w:hAnsi="微软雅黑" w:eastAsia="微软雅黑" w:cs="微软雅黑"/>
                <w:sz w:val="24"/>
                <w:szCs w:val="24"/>
              </w:rPr>
            </w:pPr>
          </w:p>
        </w:tc>
        <w:tc>
          <w:tcPr>
            <w:tcW w:w="1275" w:type="dxa"/>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tcPr>
          <w:p w14:paraId="09FD19F7">
            <w:pPr>
              <w:spacing w:line="300" w:lineRule="exact"/>
              <w:rPr>
                <w:rFonts w:ascii="微软雅黑" w:hAnsi="微软雅黑" w:eastAsia="微软雅黑" w:cs="微软雅黑"/>
                <w:sz w:val="24"/>
                <w:szCs w:val="24"/>
              </w:rPr>
            </w:pPr>
          </w:p>
        </w:tc>
        <w:tc>
          <w:tcPr>
            <w:tcW w:w="1701" w:type="dxa"/>
          </w:tcPr>
          <w:p w14:paraId="45DD8594">
            <w:pPr>
              <w:spacing w:line="300" w:lineRule="exact"/>
              <w:rPr>
                <w:rFonts w:ascii="微软雅黑" w:hAnsi="微软雅黑" w:eastAsia="微软雅黑" w:cs="微软雅黑"/>
                <w:sz w:val="24"/>
                <w:szCs w:val="24"/>
              </w:rPr>
            </w:pPr>
          </w:p>
        </w:tc>
        <w:tc>
          <w:tcPr>
            <w:tcW w:w="1134" w:type="dxa"/>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tcPr>
          <w:p w14:paraId="3A337A93">
            <w:pPr>
              <w:spacing w:line="300" w:lineRule="exact"/>
              <w:rPr>
                <w:rFonts w:ascii="微软雅黑" w:hAnsi="微软雅黑" w:eastAsia="微软雅黑" w:cs="微软雅黑"/>
                <w:sz w:val="24"/>
                <w:szCs w:val="24"/>
              </w:rPr>
            </w:pPr>
          </w:p>
        </w:tc>
        <w:tc>
          <w:tcPr>
            <w:tcW w:w="1275" w:type="dxa"/>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D1AB34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4EF56E2E">
            <w:pPr>
              <w:spacing w:line="594" w:lineRule="exact"/>
              <w:rPr>
                <w:rFonts w:hint="eastAsia" w:ascii="微软雅黑" w:hAnsi="微软雅黑" w:eastAsia="微软雅黑" w:cs="宋体"/>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7C4CDD1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6C9D2E9C">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5F2AB951">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0" distR="0">
            <wp:extent cx="2736215" cy="3569970"/>
            <wp:effectExtent l="0" t="0" r="6985" b="11430"/>
            <wp:docPr id="1026" name="图片 1" descr="C:\Users\王静-采购办\Desktop\微信图片_20240320084311.jpg微信图片_20240320084311"/>
            <wp:cNvGraphicFramePr/>
            <a:graphic xmlns:a="http://schemas.openxmlformats.org/drawingml/2006/main">
              <a:graphicData uri="http://schemas.openxmlformats.org/drawingml/2006/picture">
                <pic:pic xmlns:pic="http://schemas.openxmlformats.org/drawingml/2006/picture">
                  <pic:nvPicPr>
                    <pic:cNvPr id="1026" name="图片 1" descr="C:\Users\王静-采购办\Desktop\微信图片_20240320084311.jpg微信图片_20240320084311"/>
                    <pic:cNvPicPr/>
                  </pic:nvPicPr>
                  <pic:blipFill>
                    <a:blip r:embed="rId4" cstate="print"/>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0" distR="0">
            <wp:extent cx="2734945" cy="3486785"/>
            <wp:effectExtent l="0" t="0" r="8255" b="18415"/>
            <wp:docPr id="1027" name="图片 2" descr="微信图片_20240320084137"/>
            <wp:cNvGraphicFramePr/>
            <a:graphic xmlns:a="http://schemas.openxmlformats.org/drawingml/2006/main">
              <a:graphicData uri="http://schemas.openxmlformats.org/drawingml/2006/picture">
                <pic:pic xmlns:pic="http://schemas.openxmlformats.org/drawingml/2006/picture">
                  <pic:nvPicPr>
                    <pic:cNvPr id="1027" name="图片 2" descr="微信图片_20240320084137"/>
                    <pic:cNvPicPr/>
                  </pic:nvPicPr>
                  <pic:blipFill>
                    <a:blip r:embed="rId5" cstate="print"/>
                    <a:srcRect/>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2"/>
    <w:multiLevelType w:val="multilevel"/>
    <w:tmpl w:val="0000000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92302"/>
    <w:rsid w:val="0C53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qFormat/>
    <w:uiPriority w:val="9"/>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6390</Words>
  <Characters>6929</Characters>
  <Paragraphs>487</Paragraphs>
  <TotalTime>14</TotalTime>
  <ScaleCrop>false</ScaleCrop>
  <LinksUpToDate>false</LinksUpToDate>
  <CharactersWithSpaces>7656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WPS_1556944515</cp:lastModifiedBy>
  <cp:lastPrinted>2024-01-02T09:12:00Z</cp:lastPrinted>
  <dcterms:modified xsi:type="dcterms:W3CDTF">2025-03-12T13:42:05Z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162E8186AA9D417F8B64B984A1A893EE_13</vt:lpwstr>
  </property>
  <property fmtid="{D5CDD505-2E9C-101B-9397-08002B2CF9AE}" pid="4" name="KSOTemplateDocerSaveRecord">
    <vt:lpwstr>eyJoZGlkIjoiNWQ2ZTk4NTNjM2E1MmE4NDY0YWZmYjI5NmZlNGMzMGEiLCJ1c2VySWQiOiIxNjE2MTQ1MTM5In0=</vt:lpwstr>
  </property>
</Properties>
</file>