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：游离甲状腺素检测试剂盒（电化学发光）耗材</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11011</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4"/>
        <w:gridCol w:w="726"/>
        <w:gridCol w:w="1475"/>
        <w:gridCol w:w="1753"/>
        <w:gridCol w:w="1638"/>
        <w:gridCol w:w="1622"/>
        <w:gridCol w:w="855"/>
        <w:gridCol w:w="114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63" w:hRule="atLeast"/>
        </w:trPr>
        <w:tc>
          <w:tcPr>
            <w:tcW w:w="50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47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75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3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622"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c>
          <w:tcPr>
            <w:tcW w:w="142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0" w:hRule="atLeast"/>
        </w:trPr>
        <w:tc>
          <w:tcPr>
            <w:tcW w:w="50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医学检验科</w:t>
            </w:r>
          </w:p>
        </w:tc>
        <w:tc>
          <w:tcPr>
            <w:tcW w:w="14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游离甲状腺素检测试剂盒（电化学发光）</w:t>
            </w:r>
          </w:p>
        </w:tc>
        <w:tc>
          <w:tcPr>
            <w:tcW w:w="175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纸盒+塑料+液体（200人份/盒）</w:t>
            </w:r>
          </w:p>
        </w:tc>
        <w:tc>
          <w:tcPr>
            <w:tcW w:w="163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用于体外定量检测人体血清和血浆样本中的游离甲状腺</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素</w:t>
            </w:r>
            <w:r>
              <w:rPr>
                <w:rFonts w:hint="default" w:ascii="宋体" w:hAnsi="宋体" w:cs="宋体"/>
                <w:i w:val="0"/>
                <w:iCs w:val="0"/>
                <w:color w:val="000000"/>
                <w:kern w:val="0"/>
                <w:sz w:val="21"/>
                <w:szCs w:val="21"/>
                <w:u w:val="none"/>
                <w:lang w:val="en-US" w:eastAsia="zh-CN" w:bidi="ar"/>
              </w:rPr>
              <w:t>。</w:t>
            </w:r>
          </w:p>
        </w:tc>
        <w:tc>
          <w:tcPr>
            <w:tcW w:w="162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试剂-工作溶液</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240盒</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2032元/盒</w:t>
            </w:r>
          </w:p>
        </w:tc>
        <w:tc>
          <w:tcPr>
            <w:tcW w:w="1423"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hint="eastAsia" w:ascii="宋体" w:hAnsi="宋体" w:cs="宋体"/>
                <w:i w:val="0"/>
                <w:iCs w:val="0"/>
                <w:color w:val="000000"/>
                <w:kern w:val="0"/>
                <w:sz w:val="21"/>
                <w:szCs w:val="21"/>
                <w:u w:val="none"/>
                <w:lang w:val="en-US" w:eastAsia="zh-CN" w:bidi="ar"/>
              </w:rPr>
              <w:t>罗氏 cobas 602</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bookmarkStart w:id="34" w:name="_GoBack"/>
      <w:bookmarkEnd w:id="34"/>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237057789"/>
      <w:bookmarkStart w:id="2" w:name="_Toc128229278"/>
      <w:bookmarkStart w:id="3" w:name="_Toc156196446"/>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5017342"/>
      <w:bookmarkStart w:id="6" w:name="_Toc166549448"/>
      <w:bookmarkStart w:id="7" w:name="_Toc156730450"/>
      <w:bookmarkStart w:id="8" w:name="_Toc156196470"/>
      <w:bookmarkStart w:id="9" w:name="_Toc128229916"/>
      <w:bookmarkStart w:id="10" w:name="_Toc128229302"/>
      <w:bookmarkStart w:id="11" w:name="_Toc166139912"/>
      <w:bookmarkStart w:id="12" w:name="_Toc173677397"/>
      <w:bookmarkStart w:id="13" w:name="_Toc156815770"/>
      <w:bookmarkStart w:id="14" w:name="_Toc128229745"/>
      <w:bookmarkStart w:id="15" w:name="_Toc156196559"/>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917"/>
      <w:bookmarkStart w:id="17" w:name="_Toc156196560"/>
      <w:bookmarkStart w:id="18" w:name="_Toc156730451"/>
      <w:bookmarkStart w:id="19" w:name="_Toc166139913"/>
      <w:bookmarkStart w:id="20" w:name="_Toc128229303"/>
      <w:bookmarkStart w:id="21" w:name="_Toc128229746"/>
      <w:bookmarkStart w:id="22" w:name="_Toc156815771"/>
      <w:bookmarkStart w:id="23" w:name="_Toc173677398"/>
      <w:bookmarkStart w:id="24" w:name="_Toc156196471"/>
      <w:bookmarkStart w:id="25" w:name="_Toc175017343"/>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28229304"/>
      <w:bookmarkStart w:id="29" w:name="_Toc128229747"/>
      <w:bookmarkStart w:id="30" w:name="_Toc156196472"/>
      <w:bookmarkStart w:id="31" w:name="_Toc175017344"/>
      <w:bookmarkStart w:id="32" w:name="_Toc128014297"/>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1.报价保留2位小数；</w:t>
      </w:r>
    </w:p>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262375"/>
    <w:rsid w:val="206B29E9"/>
    <w:rsid w:val="217A21C5"/>
    <w:rsid w:val="22E50F79"/>
    <w:rsid w:val="24051BA8"/>
    <w:rsid w:val="247C1983"/>
    <w:rsid w:val="247E13D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C58083C"/>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9880</Words>
  <Characters>11112</Characters>
  <Lines>202</Lines>
  <Paragraphs>243</Paragraphs>
  <TotalTime>12</TotalTime>
  <ScaleCrop>false</ScaleCrop>
  <LinksUpToDate>false</LinksUpToDate>
  <CharactersWithSpaces>11684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2025-11-17T01:57:20Z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