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项目名称：火灾公众责任保险</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w:t>
      </w:r>
      <w:r>
        <w:rPr>
          <w:rFonts w:hint="eastAsia" w:ascii="仿宋_GB2312" w:hAnsi="宋体" w:eastAsia="仿宋_GB2312" w:cs="宋体"/>
          <w:sz w:val="32"/>
          <w:szCs w:val="32"/>
          <w:lang w:val="en-US" w:eastAsia="zh-CN"/>
        </w:rPr>
        <w:t>投标</w:t>
      </w:r>
      <w:r>
        <w:rPr>
          <w:rFonts w:hint="eastAsia" w:ascii="仿宋_GB2312" w:hAnsi="宋体" w:eastAsia="仿宋_GB2312" w:cs="宋体"/>
          <w:sz w:val="32"/>
          <w:szCs w:val="32"/>
          <w:lang w:val="zh-CN"/>
        </w:rPr>
        <w:t>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7.现场踏勘表（联系人代老师，见招标公告）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ind w:firstLine="320" w:firstLineChars="100"/>
        <w:rPr>
          <w:rFonts w:hint="default"/>
          <w:lang w:val="en-US" w:eastAsia="zh-CN"/>
        </w:rPr>
      </w:pPr>
      <w:r>
        <w:rPr>
          <w:rFonts w:hint="eastAsia" w:ascii="仿宋_GB2312" w:eastAsia="仿宋_GB2312" w:cs="宋体"/>
          <w:color w:val="auto"/>
          <w:sz w:val="32"/>
          <w:szCs w:val="32"/>
          <w:lang w:val="en-US" w:eastAsia="zh-CN"/>
        </w:rPr>
        <w:t>9.其他可以证明投标人有能力完成本项目的佐证材料。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autoSpaceDE w:val="0"/>
        <w:autoSpaceDN w:val="0"/>
        <w:adjustRightInd w:val="0"/>
        <w:snapToGrid w:val="0"/>
        <w:spacing w:line="360" w:lineRule="auto"/>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火灾公众责任保险服务报价表</w:t>
      </w:r>
    </w:p>
    <w:p>
      <w:pPr>
        <w:numPr>
          <w:ilvl w:val="0"/>
          <w:numId w:val="0"/>
        </w:numPr>
        <w:wordWrap w:val="0"/>
        <w:spacing w:line="440" w:lineRule="exact"/>
        <w:ind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火灾公众责任保险服务要求：1.在保险期间内，被保险人在保障场所内发生火灾、爆炸等造成第三者人身损害，由被保险人承担的经济赔偿责任，保险人按照本保险合同约定负责赔偿；2.保险事故发生后，被保险人因保险事故而被提起仲裁或者诉讼的，对应由被保险人支付的仲裁或诉讼费用以及事先经保险人书面同意支付的其它必要的、合理的费用，保险人按照本保险合同约定也负责赔偿；3.保费不高于60000元/年，保额不低于1200万（主险800万、第三者财产损失责任保险400万，事故免赔金额为0元）；4.服务期限为1年。</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火灾公众责任保险服务项目，投标人已清楚医院总建筑面积206400㎡（含新院区、发热门诊、东关院区、三角滩院区），并实地踏勘了各院区进一步了解采购人的房屋及使用状况，该项目投标报价保费</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元，保额为 </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。其他注意事项：</w:t>
      </w:r>
      <w:r>
        <w:rPr>
          <w:rFonts w:hint="eastAsia" w:ascii="方正仿宋_GBK" w:hAnsi="方正仿宋_GBK" w:eastAsia="方正仿宋_GBK" w:cs="方正仿宋_GBK"/>
          <w:b w:val="0"/>
          <w:bCs w:val="0"/>
          <w:color w:val="auto"/>
          <w:sz w:val="32"/>
          <w:szCs w:val="32"/>
          <w:u w:val="single"/>
          <w:lang w:val="en-US" w:eastAsia="zh-CN"/>
        </w:rPr>
        <w:t xml:space="preserve">（如有）                                                </w:t>
      </w:r>
      <w:r>
        <w:rPr>
          <w:rFonts w:hint="eastAsia" w:ascii="方正仿宋_GBK" w:hAnsi="方正仿宋_GBK" w:eastAsia="方正仿宋_GBK" w:cs="方正仿宋_GBK"/>
          <w:b w:val="0"/>
          <w:bCs w:val="0"/>
          <w:color w:val="auto"/>
          <w:sz w:val="32"/>
          <w:szCs w:val="32"/>
          <w:u w:val="none"/>
          <w:lang w:val="en-US" w:eastAsia="zh-CN"/>
        </w:rPr>
        <w:t>。</w:t>
      </w: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wordWrap w:val="0"/>
        <w:jc w:val="right"/>
        <w:rPr>
          <w:rFonts w:hint="default"/>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投标时间：  </w:t>
      </w:r>
      <w:r>
        <w:rPr>
          <w:rFonts w:hint="eastAsia" w:ascii="仿宋" w:hAnsi="仿宋" w:eastAsia="仿宋" w:cs="仿宋"/>
          <w:b/>
          <w:bCs/>
          <w:color w:val="auto"/>
          <w:sz w:val="32"/>
          <w:szCs w:val="32"/>
          <w:u w:val="none"/>
          <w:lang w:val="en-US" w:eastAsia="zh-CN"/>
        </w:rPr>
        <w:t xml:space="preserve">       </w:t>
      </w:r>
    </w:p>
    <w:p>
      <w:pPr>
        <w:numPr>
          <w:ilvl w:val="0"/>
          <w:numId w:val="0"/>
        </w:numPr>
        <w:wordWrap w:val="0"/>
        <w:spacing w:line="440" w:lineRule="exact"/>
        <w:ind w:firstLine="562" w:firstLineChars="200"/>
        <w:rPr>
          <w:rFonts w:hint="eastAsia" w:ascii="仿宋" w:hAnsi="仿宋" w:eastAsia="仿宋" w:cs="仿宋"/>
          <w:b/>
          <w:bCs/>
          <w:color w:val="auto"/>
          <w:sz w:val="28"/>
          <w:szCs w:val="21"/>
          <w:lang w:val="en-US" w:eastAsia="zh-CN"/>
        </w:rPr>
      </w:pPr>
    </w:p>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保</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定损费、鉴定费等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2.服务要求供应商须完全响应。3.</w:t>
      </w:r>
      <w:bookmarkStart w:id="29" w:name="_GoBack"/>
      <w:bookmarkEnd w:id="29"/>
      <w:r>
        <w:rPr>
          <w:rFonts w:hint="eastAsia" w:ascii="方正仿宋_GBK" w:hAnsi="方正仿宋_GBK" w:eastAsia="方正仿宋_GBK" w:cs="方正仿宋_GBK"/>
          <w:color w:val="auto"/>
          <w:sz w:val="28"/>
          <w:szCs w:val="28"/>
          <w:highlight w:val="none"/>
          <w:lang w:val="en-US" w:eastAsia="zh-CN"/>
        </w:rPr>
        <w:t>超过限价、未在规定的时间内上交资料及资料不齐全的为无效报价。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56730450"/>
      <w:bookmarkStart w:id="1" w:name="_Toc156196470"/>
      <w:bookmarkStart w:id="2" w:name="_Toc156196559"/>
      <w:bookmarkStart w:id="3" w:name="_Toc156815770"/>
      <w:bookmarkStart w:id="4" w:name="_Toc128229302"/>
      <w:bookmarkStart w:id="5" w:name="_Toc128229745"/>
      <w:bookmarkStart w:id="6" w:name="_Toc166139912"/>
      <w:bookmarkStart w:id="7" w:name="_Toc166549448"/>
      <w:bookmarkStart w:id="8" w:name="_Toc175017342"/>
      <w:bookmarkStart w:id="9" w:name="_Toc128229916"/>
      <w:bookmarkStart w:id="10" w:name="_Toc173677397"/>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66549449"/>
      <w:bookmarkStart w:id="12" w:name="_Toc156815771"/>
      <w:bookmarkStart w:id="13" w:name="_Toc156730451"/>
      <w:bookmarkStart w:id="14" w:name="_Toc173677398"/>
      <w:bookmarkStart w:id="15" w:name="_Toc128229303"/>
      <w:bookmarkStart w:id="16" w:name="_Toc128229917"/>
      <w:bookmarkStart w:id="17" w:name="_Toc156196560"/>
      <w:bookmarkStart w:id="18" w:name="_Toc166139913"/>
      <w:bookmarkStart w:id="19" w:name="_Toc156196471"/>
      <w:bookmarkStart w:id="20" w:name="_Toc175017343"/>
      <w:bookmarkStart w:id="21" w:name="_Toc128229746"/>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3677399"/>
      <w:bookmarkStart w:id="23" w:name="_Toc175017344"/>
      <w:bookmarkStart w:id="24" w:name="_Toc237057793"/>
      <w:bookmarkStart w:id="25" w:name="_Toc128014297"/>
      <w:bookmarkStart w:id="26" w:name="_Toc156196472"/>
      <w:bookmarkStart w:id="27" w:name="_Toc128229304"/>
      <w:bookmarkStart w:id="28" w:name="_Toc128229747"/>
    </w:p>
    <w:p>
      <w:pPr>
        <w:pStyle w:val="3"/>
        <w:adjustRightInd w:val="0"/>
        <w:snapToGrid w:val="0"/>
        <w:spacing w:line="360" w:lineRule="auto"/>
        <w:rPr>
          <w:color w:val="auto"/>
        </w:rPr>
      </w:pPr>
      <w:r>
        <w:rPr>
          <w:rFonts w:hint="eastAsia"/>
          <w:color w:val="auto"/>
        </w:rPr>
        <w:t>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2</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4"/>
          <w:lang w:val="en-US" w:eastAsia="zh-CN"/>
        </w:rPr>
        <w:t>:</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5354A"/>
    <w:rsid w:val="1AF86BE0"/>
    <w:rsid w:val="1CF00EFC"/>
    <w:rsid w:val="236757CC"/>
    <w:rsid w:val="2FC44243"/>
    <w:rsid w:val="33FB61AD"/>
    <w:rsid w:val="4C31315D"/>
    <w:rsid w:val="5613650D"/>
    <w:rsid w:val="59A26483"/>
    <w:rsid w:val="5AB85CFA"/>
    <w:rsid w:val="5E4B5F15"/>
    <w:rsid w:val="61130716"/>
    <w:rsid w:val="61143219"/>
    <w:rsid w:val="6DD05A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character" w:customStyle="1" w:styleId="9">
    <w:name w:val="font21"/>
    <w:basedOn w:val="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2023-11-21T03:57:17Z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E3F663ED79814DF886D310C6AEDD6678</vt:lpwstr>
  </property>
</Properties>
</file>