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highlight w:val="none"/>
          <w:lang w:val="en-US" w:eastAsia="zh-CN"/>
        </w:rPr>
      </w:pPr>
    </w:p>
    <w:p w14:paraId="0889A8CD">
      <w:pPr>
        <w:rPr>
          <w:rFonts w:hint="eastAsia"/>
          <w:highlight w:val="none"/>
          <w:lang w:val="en-US" w:eastAsia="zh-CN"/>
        </w:rPr>
      </w:pPr>
    </w:p>
    <w:p w14:paraId="741786C1">
      <w:pPr>
        <w:jc w:val="center"/>
        <w:rPr>
          <w:rFonts w:hint="eastAsia"/>
          <w:b/>
          <w:bCs/>
          <w:sz w:val="84"/>
          <w:szCs w:val="84"/>
          <w:highlight w:val="none"/>
          <w:lang w:val="en-US" w:eastAsia="zh-CN"/>
        </w:rPr>
      </w:pPr>
    </w:p>
    <w:p w14:paraId="4071D9D2">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2C240D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bookmarkStart w:id="7" w:name="_GoBack"/>
      <w:bookmarkEnd w:id="7"/>
    </w:p>
    <w:p w14:paraId="52DA6058">
      <w:pPr>
        <w:jc w:val="center"/>
        <w:rPr>
          <w:rFonts w:hint="eastAsia"/>
          <w:b/>
          <w:bCs/>
          <w:sz w:val="44"/>
          <w:szCs w:val="44"/>
          <w:highlight w:val="none"/>
          <w:lang w:val="en-US" w:eastAsia="zh-CN"/>
        </w:rPr>
      </w:pPr>
    </w:p>
    <w:p w14:paraId="7296EECA">
      <w:pPr>
        <w:rPr>
          <w:rFonts w:hint="eastAsia"/>
          <w:sz w:val="32"/>
          <w:szCs w:val="32"/>
          <w:highlight w:val="none"/>
          <w:lang w:val="en-US" w:eastAsia="zh-CN"/>
        </w:rPr>
      </w:pPr>
    </w:p>
    <w:p w14:paraId="3FA7D52B">
      <w:pPr>
        <w:rPr>
          <w:rFonts w:hint="eastAsia"/>
          <w:sz w:val="32"/>
          <w:szCs w:val="32"/>
          <w:highlight w:val="none"/>
          <w:lang w:val="en-US" w:eastAsia="zh-CN"/>
        </w:rPr>
      </w:pPr>
    </w:p>
    <w:p w14:paraId="3826EC03">
      <w:pPr>
        <w:rPr>
          <w:rFonts w:hint="eastAsia"/>
          <w:sz w:val="32"/>
          <w:szCs w:val="32"/>
          <w:highlight w:val="none"/>
          <w:lang w:val="en-US" w:eastAsia="zh-CN"/>
        </w:rPr>
      </w:pPr>
    </w:p>
    <w:p w14:paraId="536C760A">
      <w:pPr>
        <w:rPr>
          <w:rFonts w:hint="eastAsia"/>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项目名称：热交换器电动执行器改造</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项目编号：BSRMYY-YNCG-2025-05007</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37349B2A">
      <w:pPr>
        <w:rPr>
          <w:rFonts w:hint="eastAsia"/>
          <w:sz w:val="44"/>
          <w:szCs w:val="44"/>
          <w:highlight w:val="none"/>
          <w:lang w:val="en-US" w:eastAsia="zh-CN"/>
        </w:rPr>
      </w:pPr>
      <w:r>
        <w:rPr>
          <w:rFonts w:hint="eastAsia"/>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5B46B81B">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3"/>
        <w:tblW w:w="48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63"/>
        <w:gridCol w:w="1942"/>
        <w:gridCol w:w="2160"/>
        <w:gridCol w:w="2519"/>
      </w:tblGrid>
      <w:tr w14:paraId="15386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34"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24"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009"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数量（套）</w:t>
            </w:r>
          </w:p>
        </w:tc>
        <w:tc>
          <w:tcPr>
            <w:tcW w:w="1122" w:type="pct"/>
            <w:vAlign w:val="center"/>
          </w:tcPr>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309"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总计（元）</w:t>
            </w:r>
          </w:p>
        </w:tc>
      </w:tr>
      <w:tr w14:paraId="169B9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34"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24"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热交换器电动执行器改造</w:t>
            </w:r>
          </w:p>
        </w:tc>
        <w:tc>
          <w:tcPr>
            <w:tcW w:w="1009"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1122"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11500</w:t>
            </w:r>
          </w:p>
        </w:tc>
        <w:tc>
          <w:tcPr>
            <w:tcW w:w="1309"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23000</w:t>
            </w:r>
          </w:p>
        </w:tc>
      </w:tr>
      <w:tr w14:paraId="6920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37106EF6">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23000元，包括但不限于项目服务费、货款、运输装卸、质保期故障产品更换、资料装订及邮寄费、税费、保险费、验收检测费等完成本项目所需的一切费用。因成交供应商自身原因造成漏报、少报皆由其自行承担责任，采购人不再补偿。</w:t>
            </w:r>
          </w:p>
        </w:tc>
      </w:tr>
    </w:tbl>
    <w:p w14:paraId="24F2F81E">
      <w:pPr>
        <w:rPr>
          <w:rFonts w:hint="eastAsia"/>
          <w:highlight w:val="none"/>
          <w:lang w:val="en-US" w:eastAsia="zh-CN"/>
        </w:rPr>
      </w:pPr>
    </w:p>
    <w:p w14:paraId="70DF4921">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3"/>
        <w:tblW w:w="543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7"/>
        <w:gridCol w:w="1939"/>
        <w:gridCol w:w="2312"/>
        <w:gridCol w:w="2312"/>
        <w:gridCol w:w="3509"/>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2"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04"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078" w:type="pct"/>
            <w:vAlign w:val="center"/>
          </w:tcPr>
          <w:p w14:paraId="42747EA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推荐品牌</w:t>
            </w:r>
          </w:p>
        </w:tc>
        <w:tc>
          <w:tcPr>
            <w:tcW w:w="1078" w:type="pct"/>
            <w:vAlign w:val="center"/>
          </w:tcPr>
          <w:p w14:paraId="12D76A5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1636"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8" w:hRule="atLeast"/>
          <w:jc w:val="center"/>
        </w:trPr>
        <w:tc>
          <w:tcPr>
            <w:tcW w:w="302" w:type="pct"/>
            <w:shd w:val="clear" w:color="auto" w:fill="auto"/>
            <w:vAlign w:val="center"/>
          </w:tcPr>
          <w:p w14:paraId="7486B2FD">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904"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热交换器电动执行器改造</w:t>
            </w:r>
          </w:p>
        </w:tc>
        <w:tc>
          <w:tcPr>
            <w:tcW w:w="1078" w:type="pct"/>
            <w:shd w:val="clear" w:color="auto" w:fill="auto"/>
            <w:vAlign w:val="center"/>
          </w:tcPr>
          <w:p w14:paraId="04BF4D0E">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斯派莎克、萨姆森、费希尔</w:t>
            </w:r>
          </w:p>
        </w:tc>
        <w:tc>
          <w:tcPr>
            <w:tcW w:w="1078" w:type="pct"/>
            <w:shd w:val="clear" w:color="auto" w:fill="auto"/>
            <w:vAlign w:val="center"/>
          </w:tcPr>
          <w:p w14:paraId="0F079E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将生活热水控制系统现有220V电源电动执行器，更换改造为24V供电模式（供应商提供热交换器电动执行器及配件）</w:t>
            </w:r>
          </w:p>
        </w:tc>
        <w:tc>
          <w:tcPr>
            <w:tcW w:w="1636" w:type="pct"/>
            <w:shd w:val="clear" w:color="auto" w:fill="auto"/>
            <w:vAlign w:val="center"/>
          </w:tcPr>
          <w:p w14:paraId="51CD59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1、等百分比电动控制执行器；</w:t>
            </w:r>
          </w:p>
          <w:p w14:paraId="1B7BEE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2、4-20MA信号输入及反馈；</w:t>
            </w:r>
          </w:p>
          <w:p w14:paraId="291B0D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3、24VCA 电源；</w:t>
            </w:r>
          </w:p>
          <w:p w14:paraId="6E25A1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4、最大推力2KN及以上，行程20mm；</w:t>
            </w:r>
          </w:p>
          <w:p w14:paraId="3B04FD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5、满足EN60730-1:2000的电磁兼容标准；</w:t>
            </w:r>
          </w:p>
          <w:p w14:paraId="58913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6、执行器关闭压差≥6barg；</w:t>
            </w:r>
          </w:p>
          <w:p w14:paraId="578BF6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7、带实时阀位显示液晶屏幕；</w:t>
            </w:r>
          </w:p>
          <w:p w14:paraId="3CFCCF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8、带手动切换模式；</w:t>
            </w:r>
          </w:p>
          <w:p w14:paraId="7BF3F6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9、内置的转矩开关在过载时，可以保护阀门；</w:t>
            </w:r>
          </w:p>
          <w:p w14:paraId="7B06D5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10、IP等级：IP54 (DIN40050)电机绝缘等级：E(IEC)</w:t>
            </w:r>
          </w:p>
        </w:tc>
      </w:tr>
    </w:tbl>
    <w:p w14:paraId="6804002E">
      <w:pPr>
        <w:pStyle w:val="26"/>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3F63301C">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10F129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1.提供产品安装调试人员的资格证明；</w:t>
      </w:r>
    </w:p>
    <w:p w14:paraId="0470D68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2.提供2024年至今2份类似项目的合同及验收记录；</w:t>
      </w:r>
    </w:p>
    <w:p w14:paraId="729D294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3.其他法律法规有关规范。</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23000元。报价要求：包括但不限于项目服务费、货款、运输装卸、质保期故障产品更换、资料装订及邮寄费、税费、保险费、验收检测费等完成本项目所需的一切费用。因成交供应商自身原因造成漏报、少报皆由其自行承担责任，采购人不再补偿。供应商报送总价不得超过采购人要求，否则视为无效报价。</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78EA4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default" w:ascii="方正仿宋_GBK" w:hAnsi="方正仿宋_GBK" w:eastAsia="方正仿宋_GBK" w:cs="方正仿宋_GBK"/>
          <w:color w:val="000000"/>
          <w:kern w:val="0"/>
          <w:sz w:val="31"/>
          <w:szCs w:val="31"/>
          <w:highlight w:val="none"/>
          <w:lang w:val="en-US" w:eastAsia="zh-CN" w:bidi="ar"/>
        </w:rPr>
        <w:t>一般情况接采购人通知后10天完成安装</w:t>
      </w:r>
      <w:r>
        <w:rPr>
          <w:rFonts w:hint="eastAsia" w:ascii="方正仿宋_GBK" w:hAnsi="方正仿宋_GBK" w:eastAsia="方正仿宋_GBK" w:cs="方正仿宋_GBK"/>
          <w:color w:val="000000"/>
          <w:kern w:val="0"/>
          <w:sz w:val="31"/>
          <w:szCs w:val="31"/>
          <w:highlight w:val="none"/>
          <w:lang w:val="en-US" w:eastAsia="zh-CN" w:bidi="ar"/>
        </w:rPr>
        <w:t>及</w:t>
      </w:r>
      <w:r>
        <w:rPr>
          <w:rFonts w:hint="default" w:ascii="方正仿宋_GBK" w:hAnsi="方正仿宋_GBK" w:eastAsia="方正仿宋_GBK" w:cs="方正仿宋_GBK"/>
          <w:color w:val="000000"/>
          <w:kern w:val="0"/>
          <w:sz w:val="31"/>
          <w:szCs w:val="31"/>
          <w:highlight w:val="none"/>
          <w:lang w:val="en-US" w:eastAsia="zh-CN" w:bidi="ar"/>
        </w:rPr>
        <w:t>调试</w:t>
      </w:r>
      <w:r>
        <w:rPr>
          <w:rFonts w:hint="eastAsia" w:ascii="方正仿宋_GBK" w:hAnsi="方正仿宋_GBK" w:eastAsia="方正仿宋_GBK" w:cs="方正仿宋_GBK"/>
          <w:color w:val="000000"/>
          <w:kern w:val="0"/>
          <w:sz w:val="31"/>
          <w:szCs w:val="31"/>
          <w:highlight w:val="none"/>
          <w:lang w:val="en-US" w:eastAsia="zh-CN" w:bidi="ar"/>
        </w:rPr>
        <w:t>，</w:t>
      </w:r>
      <w:r>
        <w:rPr>
          <w:rFonts w:hint="default" w:ascii="方正仿宋_GBK" w:hAnsi="方正仿宋_GBK" w:eastAsia="方正仿宋_GBK" w:cs="方正仿宋_GBK"/>
          <w:color w:val="000000"/>
          <w:kern w:val="0"/>
          <w:sz w:val="31"/>
          <w:szCs w:val="31"/>
          <w:highlight w:val="none"/>
          <w:lang w:val="en-US" w:eastAsia="zh-CN" w:bidi="ar"/>
        </w:rPr>
        <w:t>特殊情况15天完成</w:t>
      </w:r>
      <w:r>
        <w:rPr>
          <w:rFonts w:hint="eastAsia" w:ascii="方正仿宋_GBK" w:hAnsi="方正仿宋_GBK" w:eastAsia="方正仿宋_GBK" w:cs="方正仿宋_GBK"/>
          <w:color w:val="000000"/>
          <w:kern w:val="0"/>
          <w:sz w:val="31"/>
          <w:szCs w:val="31"/>
          <w:highlight w:val="none"/>
          <w:lang w:val="en-US" w:eastAsia="zh-CN" w:bidi="ar"/>
        </w:rPr>
        <w:t>。</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6432D9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根据询价文件要求对项目（包括服务内容、指标参数等）逐项验收，验收产生争议由采购人择优选择第三方机构进行检测，费用由供应商承担。验收后使用中发现质量争议按照验收争议进行处理。</w:t>
      </w:r>
    </w:p>
    <w:p w14:paraId="7B0241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到货验收：确认热交换器电动执行器的产品外观、型号、配件、生产日期是否符合招投标文件及合同要求，确认无异议后进行安装改造；性能验收：安装调试并试运行1个月无异常作为最终验收。</w:t>
      </w:r>
    </w:p>
    <w:p w14:paraId="5BEE383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40B96D6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分期付款：验收合格后支付合同总金额95%，验收合格之日起1年运行无异常无息支付剩余5%，</w:t>
      </w:r>
      <w:r>
        <w:rPr>
          <w:rFonts w:hint="default" w:ascii="方正仿宋_GBK" w:hAnsi="方正仿宋_GBK" w:eastAsia="方正仿宋_GBK" w:cs="方正仿宋_GBK"/>
          <w:b w:val="0"/>
          <w:bCs w:val="0"/>
          <w:color w:val="auto"/>
          <w:kern w:val="0"/>
          <w:sz w:val="32"/>
          <w:szCs w:val="32"/>
          <w:highlight w:val="none"/>
          <w:lang w:val="en-US" w:eastAsia="zh-CN"/>
        </w:rPr>
        <w:t>付款时供应商须提交发票、</w:t>
      </w:r>
      <w:r>
        <w:rPr>
          <w:rFonts w:hint="eastAsia" w:ascii="方正仿宋_GBK" w:hAnsi="方正仿宋_GBK" w:eastAsia="方正仿宋_GBK" w:cs="方正仿宋_GBK"/>
          <w:b w:val="0"/>
          <w:bCs w:val="0"/>
          <w:color w:val="auto"/>
          <w:kern w:val="0"/>
          <w:sz w:val="32"/>
          <w:szCs w:val="32"/>
          <w:highlight w:val="none"/>
          <w:lang w:val="en-US" w:eastAsia="zh-CN"/>
        </w:rPr>
        <w:t>培训记录、</w:t>
      </w:r>
      <w:r>
        <w:rPr>
          <w:rFonts w:hint="default" w:ascii="方正仿宋_GBK" w:hAnsi="方正仿宋_GBK" w:eastAsia="方正仿宋_GBK" w:cs="方正仿宋_GBK"/>
          <w:b w:val="0"/>
          <w:bCs w:val="0"/>
          <w:color w:val="auto"/>
          <w:kern w:val="0"/>
          <w:sz w:val="32"/>
          <w:szCs w:val="32"/>
          <w:highlight w:val="none"/>
          <w:lang w:val="en-US" w:eastAsia="zh-CN"/>
        </w:rPr>
        <w:t>验收记录。</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BC318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w:t>
      </w:r>
      <w:r>
        <w:rPr>
          <w:rFonts w:hint="eastAsia" w:ascii="方正仿宋_GBK" w:hAnsi="方正仿宋_GBK" w:eastAsia="方正仿宋_GBK" w:cs="方正仿宋_GBK"/>
          <w:b w:val="0"/>
          <w:bCs w:val="0"/>
          <w:color w:val="auto"/>
          <w:kern w:val="0"/>
          <w:sz w:val="32"/>
          <w:szCs w:val="32"/>
          <w:highlight w:val="none"/>
          <w:lang w:val="en-US" w:eastAsia="zh-CN"/>
        </w:rPr>
        <w:t>热交换器电动执行器</w:t>
      </w:r>
      <w:r>
        <w:rPr>
          <w:rFonts w:hint="eastAsia" w:ascii="方正仿宋_GBK" w:hAnsi="方正仿宋_GBK" w:eastAsia="方正仿宋_GBK" w:cs="方正仿宋_GBK"/>
          <w:color w:val="auto"/>
          <w:sz w:val="32"/>
          <w:szCs w:val="32"/>
          <w:highlight w:val="none"/>
          <w:lang w:val="en-US" w:eastAsia="zh-CN"/>
        </w:rPr>
        <w:t>及配件等产品应为1年以内的全新产品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供应商提供的产品质保期不少于1年，质保期内，产品出现非人为损坏，供应商免费更换。</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电动执行器安装改造后</w:t>
      </w:r>
      <w:r>
        <w:rPr>
          <w:rFonts w:hint="default" w:ascii="方正仿宋_GBK" w:hAnsi="方正仿宋_GBK" w:eastAsia="方正仿宋_GBK" w:cs="方正仿宋_GBK"/>
          <w:color w:val="auto"/>
          <w:kern w:val="2"/>
          <w:sz w:val="32"/>
          <w:szCs w:val="32"/>
          <w:highlight w:val="none"/>
          <w:lang w:val="en-US" w:eastAsia="zh-CN" w:bidi="zh-CN"/>
        </w:rPr>
        <w:t>至少培训1次，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采购人有权解除合同并要求供应商承担项目金额3倍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供应商及其提供的产品或服务原因导致的不良事件造成采购人损失的，采购人有权解除合同并要求供应商退还本项目费用并全额赔偿对采购人造成的直接或间接损失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出现不良事件，供应商维护不及时，廉洁违纪行为，供应商主动放弃等。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3C5D7F26">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28B075E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0990D3BE">
      <w:pPr>
        <w:rPr>
          <w:rFonts w:hint="eastAsia"/>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46A01D9D">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1.提供产品安装调试人员的资格证明；</w:t>
      </w:r>
    </w:p>
    <w:p w14:paraId="7E84239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2.提供2024年至今2份类似项目的合同及验收记录；</w:t>
      </w:r>
    </w:p>
    <w:p w14:paraId="55184AD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3.其他法律法规有关规范。</w:t>
      </w:r>
    </w:p>
    <w:p w14:paraId="592C46BA">
      <w:pPr>
        <w:jc w:val="left"/>
        <w:rPr>
          <w:rFonts w:hint="eastAsia" w:ascii="微软雅黑" w:hAnsi="微软雅黑" w:eastAsia="微软雅黑" w:cs="方正小标宋_GBK"/>
          <w:b/>
          <w:bCs/>
          <w:sz w:val="32"/>
          <w:szCs w:val="32"/>
          <w:highlight w:val="none"/>
        </w:rPr>
      </w:pPr>
    </w:p>
    <w:p w14:paraId="0EB12CE9">
      <w:pPr>
        <w:jc w:val="left"/>
        <w:rPr>
          <w:rFonts w:hint="eastAsia" w:ascii="微软雅黑" w:hAnsi="微软雅黑" w:eastAsia="微软雅黑" w:cs="方正小标宋_GBK"/>
          <w:b/>
          <w:bCs/>
          <w:sz w:val="32"/>
          <w:szCs w:val="32"/>
          <w:highlight w:val="none"/>
        </w:rPr>
      </w:pPr>
    </w:p>
    <w:p w14:paraId="75D1D6EC">
      <w:pPr>
        <w:jc w:val="left"/>
        <w:rPr>
          <w:rFonts w:hint="eastAsia" w:ascii="微软雅黑" w:hAnsi="微软雅黑" w:eastAsia="微软雅黑" w:cs="方正小标宋_GBK"/>
          <w:b/>
          <w:bCs/>
          <w:sz w:val="32"/>
          <w:szCs w:val="32"/>
          <w:highlight w:val="none"/>
        </w:rPr>
      </w:pPr>
    </w:p>
    <w:p w14:paraId="40CADD2F">
      <w:pPr>
        <w:jc w:val="left"/>
        <w:rPr>
          <w:rFonts w:hint="eastAsia" w:ascii="微软雅黑" w:hAnsi="微软雅黑" w:eastAsia="微软雅黑" w:cs="方正小标宋_GBK"/>
          <w:b/>
          <w:bCs/>
          <w:sz w:val="32"/>
          <w:szCs w:val="32"/>
          <w:highlight w:val="none"/>
        </w:rPr>
      </w:pPr>
    </w:p>
    <w:p w14:paraId="12790ABB">
      <w:pPr>
        <w:jc w:val="left"/>
        <w:rPr>
          <w:rFonts w:hint="eastAsia" w:ascii="微软雅黑" w:hAnsi="微软雅黑" w:eastAsia="微软雅黑" w:cs="方正小标宋_GBK"/>
          <w:b/>
          <w:bCs/>
          <w:sz w:val="32"/>
          <w:szCs w:val="32"/>
          <w:highlight w:val="none"/>
        </w:rPr>
      </w:pPr>
    </w:p>
    <w:p w14:paraId="3A292553">
      <w:pPr>
        <w:jc w:val="left"/>
        <w:rPr>
          <w:rFonts w:hint="eastAsia" w:ascii="微软雅黑" w:hAnsi="微软雅黑" w:eastAsia="微软雅黑" w:cs="方正小标宋_GBK"/>
          <w:b/>
          <w:bCs/>
          <w:sz w:val="32"/>
          <w:szCs w:val="32"/>
          <w:highlight w:val="none"/>
        </w:rPr>
      </w:pPr>
    </w:p>
    <w:p w14:paraId="2A80C2D6">
      <w:pPr>
        <w:jc w:val="left"/>
        <w:rPr>
          <w:rFonts w:hint="eastAsia" w:ascii="微软雅黑" w:hAnsi="微软雅黑" w:eastAsia="微软雅黑" w:cs="方正小标宋_GBK"/>
          <w:b/>
          <w:bCs/>
          <w:sz w:val="32"/>
          <w:szCs w:val="32"/>
          <w:highlight w:val="none"/>
        </w:rPr>
      </w:pPr>
    </w:p>
    <w:p w14:paraId="0D893DCA">
      <w:pPr>
        <w:jc w:val="left"/>
        <w:rPr>
          <w:rFonts w:hint="eastAsia" w:ascii="微软雅黑" w:hAnsi="微软雅黑" w:eastAsia="微软雅黑" w:cs="方正小标宋_GBK"/>
          <w:b/>
          <w:bCs/>
          <w:sz w:val="32"/>
          <w:szCs w:val="32"/>
          <w:highlight w:val="none"/>
        </w:rPr>
      </w:pPr>
    </w:p>
    <w:p w14:paraId="52DB0E67">
      <w:pPr>
        <w:jc w:val="left"/>
        <w:rPr>
          <w:rFonts w:hint="eastAsia" w:ascii="微软雅黑" w:hAnsi="微软雅黑" w:eastAsia="微软雅黑" w:cs="方正小标宋_GBK"/>
          <w:b/>
          <w:bCs/>
          <w:sz w:val="32"/>
          <w:szCs w:val="32"/>
          <w:highlight w:val="none"/>
        </w:rPr>
      </w:pPr>
    </w:p>
    <w:p w14:paraId="78B77B7E">
      <w:pPr>
        <w:jc w:val="left"/>
        <w:rPr>
          <w:rFonts w:hint="eastAsia" w:ascii="微软雅黑" w:hAnsi="微软雅黑" w:eastAsia="微软雅黑" w:cs="方正小标宋_GBK"/>
          <w:b/>
          <w:bCs/>
          <w:sz w:val="32"/>
          <w:szCs w:val="32"/>
          <w:highlight w:val="none"/>
        </w:rPr>
      </w:pPr>
    </w:p>
    <w:p w14:paraId="7E28CD91">
      <w:pPr>
        <w:jc w:val="left"/>
        <w:rPr>
          <w:rFonts w:hint="eastAsia" w:ascii="微软雅黑" w:hAnsi="微软雅黑" w:eastAsia="微软雅黑" w:cs="方正小标宋_GBK"/>
          <w:b/>
          <w:bCs/>
          <w:sz w:val="32"/>
          <w:szCs w:val="32"/>
          <w:highlight w:val="none"/>
        </w:rPr>
      </w:pPr>
    </w:p>
    <w:p w14:paraId="068BB6F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E81D01">
      <w:pPr>
        <w:jc w:val="center"/>
        <w:rPr>
          <w:rFonts w:ascii="方正小标宋_GBK" w:hAnsi="方正小标宋_GBK" w:eastAsia="方正小标宋_GBK" w:cs="方正小标宋_GBK"/>
          <w:sz w:val="40"/>
          <w:szCs w:val="40"/>
          <w:highlight w:val="none"/>
        </w:rPr>
      </w:pPr>
    </w:p>
    <w:p w14:paraId="4C6B91C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5A5AF59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35104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2EC8F3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00E45882">
      <w:pPr>
        <w:ind w:firstLine="600" w:firstLineChars="200"/>
        <w:rPr>
          <w:rFonts w:ascii="微软雅黑" w:hAnsi="微软雅黑" w:eastAsia="微软雅黑" w:cs="微软雅黑"/>
          <w:sz w:val="30"/>
          <w:szCs w:val="30"/>
          <w:highlight w:val="none"/>
        </w:rPr>
      </w:pPr>
    </w:p>
    <w:p w14:paraId="33F650C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22A7AE7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59EB9E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0449373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B1AEAA3">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194D9DFD">
      <w:pPr>
        <w:spacing w:line="594" w:lineRule="exact"/>
        <w:ind w:firstLine="600" w:firstLineChars="200"/>
        <w:rPr>
          <w:rFonts w:hint="eastAsia" w:ascii="微软雅黑" w:hAnsi="微软雅黑" w:eastAsia="微软雅黑"/>
          <w:sz w:val="30"/>
          <w:szCs w:val="30"/>
          <w:highlight w:val="none"/>
        </w:rPr>
      </w:pPr>
    </w:p>
    <w:p w14:paraId="0C6651FA">
      <w:pPr>
        <w:spacing w:line="594" w:lineRule="exact"/>
        <w:ind w:firstLine="600" w:firstLineChars="200"/>
        <w:rPr>
          <w:rFonts w:hint="eastAsia" w:ascii="微软雅黑" w:hAnsi="微软雅黑" w:eastAsia="微软雅黑"/>
          <w:sz w:val="30"/>
          <w:szCs w:val="30"/>
          <w:highlight w:val="none"/>
        </w:rPr>
      </w:pPr>
    </w:p>
    <w:p w14:paraId="39BEEA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FF125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101AB01F">
      <w:pPr>
        <w:spacing w:line="594" w:lineRule="exact"/>
        <w:ind w:firstLine="640" w:firstLineChars="200"/>
        <w:rPr>
          <w:rFonts w:hint="eastAsia" w:ascii="方正仿宋_GBK" w:eastAsia="方正仿宋_GBK"/>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014297"/>
      <w:bookmarkStart w:id="2" w:name="_Toc173677399"/>
      <w:bookmarkStart w:id="3" w:name="_Toc237057793"/>
      <w:bookmarkStart w:id="4" w:name="_Toc128229747"/>
      <w:bookmarkStart w:id="5" w:name="_Toc156196472"/>
      <w:bookmarkStart w:id="6" w:name="_Toc175017344"/>
    </w:p>
    <w:p w14:paraId="43CD12EC">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3258005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18F236A">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15FF7007">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EC44EBA">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13FFA82A">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19DA079">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2B01CD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3DE09A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BA8408E">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31DCF702">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271A964">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A9DF16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sz w:val="30"/>
                <w:szCs w:val="30"/>
                <w:highlight w:val="none"/>
              </w:rPr>
            </w:pPr>
          </w:p>
        </w:tc>
      </w:tr>
    </w:tbl>
    <w:p w14:paraId="4D84AE8D">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B61DE9A">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0E047B78">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6EC0C99B">
      <w:pPr>
        <w:spacing w:line="594" w:lineRule="exact"/>
        <w:ind w:firstLine="596" w:firstLineChars="200"/>
        <w:rPr>
          <w:rFonts w:hint="eastAsia" w:ascii="方正仿宋_GBK" w:eastAsia="方正仿宋_GBK"/>
          <w:sz w:val="32"/>
          <w:szCs w:val="32"/>
          <w:highlight w:val="none"/>
        </w:rPr>
      </w:pPr>
    </w:p>
    <w:p w14:paraId="6ABEB8B0">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56841EA2">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sz w:val="30"/>
                <w:szCs w:val="30"/>
                <w:highlight w:val="none"/>
              </w:rPr>
            </w:pPr>
          </w:p>
        </w:tc>
      </w:tr>
    </w:tbl>
    <w:p w14:paraId="54756AE0">
      <w:pPr>
        <w:spacing w:line="594" w:lineRule="exact"/>
        <w:ind w:firstLine="556" w:firstLineChars="200"/>
        <w:rPr>
          <w:rFonts w:hint="eastAsia" w:ascii="微软雅黑" w:hAnsi="微软雅黑" w:eastAsia="微软雅黑"/>
          <w:sz w:val="30"/>
          <w:szCs w:val="30"/>
          <w:highlight w:val="none"/>
        </w:rPr>
      </w:pPr>
    </w:p>
    <w:p w14:paraId="622BFB44">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B87DDE5">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F2014C9">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20189D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0D4CB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AAC3D4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F17A166">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3880F79">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5"/>
        <w:jc w:val="both"/>
        <w:rPr>
          <w:rFonts w:hint="eastAsia" w:ascii="仿宋_GB2312" w:eastAsia="仿宋_GB2312" w:cs="宋体"/>
          <w:color w:val="auto"/>
          <w:sz w:val="32"/>
          <w:szCs w:val="32"/>
          <w:highlight w:val="none"/>
          <w:lang w:val="en-US" w:eastAsia="zh-CN"/>
        </w:rPr>
      </w:pPr>
    </w:p>
    <w:p w14:paraId="4B73C1DF">
      <w:pPr>
        <w:rPr>
          <w:rFonts w:hint="eastAsia" w:ascii="方正仿宋_GBK" w:hAnsi="方正仿宋_GBK" w:eastAsia="方正仿宋_GBK" w:cs="方正仿宋_GBK"/>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09310F9A">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52624AF"/>
    <w:rsid w:val="158346B4"/>
    <w:rsid w:val="1922346A"/>
    <w:rsid w:val="19375EE1"/>
    <w:rsid w:val="1A1C7FE3"/>
    <w:rsid w:val="1AAE2C67"/>
    <w:rsid w:val="1AF86BE0"/>
    <w:rsid w:val="1B3306B6"/>
    <w:rsid w:val="1BDE0896"/>
    <w:rsid w:val="1CF00EFC"/>
    <w:rsid w:val="1DCB6BF8"/>
    <w:rsid w:val="1F2F00AB"/>
    <w:rsid w:val="20746E51"/>
    <w:rsid w:val="21426D4A"/>
    <w:rsid w:val="218E74DB"/>
    <w:rsid w:val="236757CC"/>
    <w:rsid w:val="23F75110"/>
    <w:rsid w:val="23FB11F4"/>
    <w:rsid w:val="26541E80"/>
    <w:rsid w:val="273B32E9"/>
    <w:rsid w:val="29AE2A56"/>
    <w:rsid w:val="29F1586C"/>
    <w:rsid w:val="2C3529EE"/>
    <w:rsid w:val="2CC37769"/>
    <w:rsid w:val="2F2F3117"/>
    <w:rsid w:val="2FC44243"/>
    <w:rsid w:val="31092EA8"/>
    <w:rsid w:val="31E866CA"/>
    <w:rsid w:val="3233535A"/>
    <w:rsid w:val="33AD5E1F"/>
    <w:rsid w:val="33FB61AD"/>
    <w:rsid w:val="342C6BC9"/>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E810949"/>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5E20EBA"/>
    <w:rsid w:val="67CF5844"/>
    <w:rsid w:val="69D01878"/>
    <w:rsid w:val="69F12B0F"/>
    <w:rsid w:val="6A1F4430"/>
    <w:rsid w:val="6B247663"/>
    <w:rsid w:val="6D1F523E"/>
    <w:rsid w:val="6D38732A"/>
    <w:rsid w:val="6DD05A39"/>
    <w:rsid w:val="6EC6360F"/>
    <w:rsid w:val="6F9A2F0D"/>
    <w:rsid w:val="6FB940CF"/>
    <w:rsid w:val="70237F96"/>
    <w:rsid w:val="713118C3"/>
    <w:rsid w:val="71C02C3F"/>
    <w:rsid w:val="72BB5C94"/>
    <w:rsid w:val="732B3BA9"/>
    <w:rsid w:val="746342AD"/>
    <w:rsid w:val="74D3615F"/>
    <w:rsid w:val="76B22564"/>
    <w:rsid w:val="77991C4E"/>
    <w:rsid w:val="77FA34D6"/>
    <w:rsid w:val="78024143"/>
    <w:rsid w:val="799B64FC"/>
    <w:rsid w:val="7AF0174A"/>
    <w:rsid w:val="7BDE27F0"/>
    <w:rsid w:val="7C6F2CF1"/>
    <w:rsid w:val="7C765833"/>
    <w:rsid w:val="7D2C273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6059</Words>
  <Characters>6311</Characters>
  <Lines>0</Lines>
  <Paragraphs>0</Paragraphs>
  <TotalTime>15</TotalTime>
  <ScaleCrop>false</ScaleCrop>
  <LinksUpToDate>false</LinksUpToDate>
  <CharactersWithSpaces>6932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2025-05-21T04:05:46Z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D1A20BBF850F43CE8E7523E671B387DC_13</vt:lpwstr>
  </property>
  <property fmtid="{D5CDD505-2E9C-101B-9397-08002B2CF9AE}" pid="4" name="KSOTemplateDocerSaveRecord">
    <vt:lpwstr>eyJoZGlkIjoiNzdkNTM4MTkwYTE0Yjk0Y2Y4MjVlZDcwOGViZTQwYjIiLCJ1c2VySWQiOiIxMTc2NDE1MTk0In0=</vt:lpwstr>
  </property>
</Properties>
</file>