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项目名称：犬伤门诊电子核签系统等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ind w:left="0" w:leftChars="0" w:firstLine="640" w:firstLineChars="200"/>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39DA4751">
      <w:pPr>
        <w:numPr>
          <w:ilvl w:val="0"/>
          <w:numId w:val="0"/>
        </w:num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29C1C89A">
      <w:pPr>
        <w:numPr>
          <w:ilvl w:val="0"/>
          <w:numId w:val="0"/>
        </w:numPr>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0092CEE3">
      <w:pPr>
        <w:spacing w:line="594" w:lineRule="exact"/>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0E5557A3">
      <w:pPr>
        <w:spacing w:line="594" w:lineRule="exact"/>
        <w:ind w:left="0" w:leftChars="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578DFE1A">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1CE42A7F">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651C529B">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3474E347">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7102C76F">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19101A3D">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48719722">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2DEF887D">
      <w:pPr>
        <w:spacing w:line="594" w:lineRule="exact"/>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3D41F623">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221A51C5">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15.纸质密封档案袋要求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1287807">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6629F36E">
      <w:pPr>
        <w:pStyle w:val="3"/>
        <w:pageBreakBefore w:val="0"/>
        <w:numPr>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8"/>
        <w:gridCol w:w="6321"/>
        <w:gridCol w:w="1116"/>
        <w:gridCol w:w="1489"/>
      </w:tblGrid>
      <w:tr w14:paraId="5177F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6"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42658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6" w:type="pct"/>
            <w:vAlign w:val="center"/>
          </w:tcPr>
          <w:p w14:paraId="5F997200">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犬伤电子核签系统</w:t>
            </w:r>
          </w:p>
        </w:tc>
        <w:tc>
          <w:tcPr>
            <w:tcW w:w="566"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r w14:paraId="1BEB0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28AE8D8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6" w:type="pct"/>
            <w:vAlign w:val="center"/>
          </w:tcPr>
          <w:p w14:paraId="70754A7F">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犬伤接种告知系统</w:t>
            </w:r>
          </w:p>
        </w:tc>
        <w:tc>
          <w:tcPr>
            <w:tcW w:w="566" w:type="pct"/>
            <w:vAlign w:val="center"/>
          </w:tcPr>
          <w:p w14:paraId="279D1683">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E04EF0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r w14:paraId="22604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59D017BF">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6" w:type="pct"/>
            <w:vAlign w:val="center"/>
          </w:tcPr>
          <w:p w14:paraId="5CF94B7C">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狂犬病暴露预防接种自助留观系统</w:t>
            </w:r>
          </w:p>
        </w:tc>
        <w:tc>
          <w:tcPr>
            <w:tcW w:w="566" w:type="pct"/>
            <w:vAlign w:val="center"/>
          </w:tcPr>
          <w:p w14:paraId="6FCC7BB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39EDD5B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r w14:paraId="3E2DD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1" w:type="pct"/>
            <w:vAlign w:val="center"/>
          </w:tcPr>
          <w:p w14:paraId="41EDDC6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3206" w:type="pct"/>
            <w:vAlign w:val="center"/>
          </w:tcPr>
          <w:p w14:paraId="014F8B04">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数字化预防接种门诊候诊信息显示系统（大屏）</w:t>
            </w:r>
          </w:p>
        </w:tc>
        <w:tc>
          <w:tcPr>
            <w:tcW w:w="566" w:type="pct"/>
            <w:vAlign w:val="center"/>
          </w:tcPr>
          <w:p w14:paraId="465DFFF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4D7FAF7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bl>
    <w:p w14:paraId="1E69760B">
      <w:pPr>
        <w:pStyle w:val="25"/>
        <w:numPr>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2CEC05D4">
      <w:pPr>
        <w:numPr>
          <w:numId w:val="0"/>
        </w:numPr>
        <w:ind w:firstLine="562" w:firstLineChars="20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1.犬伤电子核签系统</w:t>
      </w:r>
    </w:p>
    <w:p w14:paraId="04876224">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39D25FE8">
      <w:pPr>
        <w:pageBreakBefore w:val="0"/>
        <w:kinsoku/>
        <w:wordWrap/>
        <w:overflowPunct/>
        <w:topLinePunct w:val="0"/>
        <w:autoSpaceDE/>
        <w:autoSpaceDN/>
        <w:bidi w:val="0"/>
        <w:adjustRightInd/>
        <w:snapToGrid/>
        <w:spacing w:line="240" w:lineRule="auto"/>
        <w:ind w:firstLine="918" w:firstLineChars="328"/>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①</w:t>
      </w:r>
      <w:r>
        <w:rPr>
          <w:rFonts w:hint="eastAsia" w:ascii="方正仿宋_GBK" w:hAnsi="方正仿宋_GBK" w:eastAsia="方正仿宋_GBK" w:cs="方正仿宋_GBK"/>
          <w:sz w:val="28"/>
          <w:szCs w:val="28"/>
        </w:rPr>
        <w:t>用于</w:t>
      </w:r>
      <w:r>
        <w:rPr>
          <w:rFonts w:hint="eastAsia" w:ascii="方正仿宋_GBK" w:hAnsi="方正仿宋_GBK" w:eastAsia="方正仿宋_GBK" w:cs="方正仿宋_GBK"/>
          <w:sz w:val="28"/>
          <w:szCs w:val="28"/>
          <w:lang w:val="en-US" w:eastAsia="zh-CN"/>
        </w:rPr>
        <w:t>狂犬病疫苗</w:t>
      </w:r>
      <w:r>
        <w:rPr>
          <w:rFonts w:hint="eastAsia" w:ascii="方正仿宋_GBK" w:hAnsi="方正仿宋_GBK" w:eastAsia="方正仿宋_GBK" w:cs="方正仿宋_GBK"/>
          <w:sz w:val="28"/>
          <w:szCs w:val="28"/>
        </w:rPr>
        <w:t>接种时对于</w:t>
      </w:r>
      <w:r>
        <w:rPr>
          <w:rFonts w:hint="eastAsia" w:ascii="方正仿宋_GBK" w:hAnsi="方正仿宋_GBK" w:eastAsia="方正仿宋_GBK" w:cs="方正仿宋_GBK"/>
          <w:sz w:val="28"/>
          <w:szCs w:val="28"/>
          <w:lang w:val="en-US" w:eastAsia="zh-CN"/>
        </w:rPr>
        <w:t>狂犬病暴露情况确认和狂犬病</w:t>
      </w:r>
      <w:r>
        <w:rPr>
          <w:rFonts w:hint="eastAsia" w:ascii="方正仿宋_GBK" w:hAnsi="方正仿宋_GBK" w:eastAsia="方正仿宋_GBK" w:cs="方正仿宋_GBK"/>
          <w:sz w:val="28"/>
          <w:szCs w:val="28"/>
        </w:rPr>
        <w:t>知情同意书的确认。同时需包含安卓系统知情同意书的电子核签设备。</w:t>
      </w:r>
    </w:p>
    <w:p w14:paraId="6A09640E">
      <w:pPr>
        <w:pageBreakBefore w:val="0"/>
        <w:kinsoku/>
        <w:wordWrap/>
        <w:overflowPunct/>
        <w:topLinePunct w:val="0"/>
        <w:autoSpaceDE/>
        <w:autoSpaceDN/>
        <w:bidi w:val="0"/>
        <w:adjustRightInd/>
        <w:snapToGrid/>
        <w:spacing w:line="240" w:lineRule="auto"/>
        <w:ind w:firstLine="918" w:firstLineChars="328"/>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②</w:t>
      </w:r>
      <w:r>
        <w:rPr>
          <w:rFonts w:hint="eastAsia" w:ascii="方正仿宋_GBK" w:hAnsi="方正仿宋_GBK" w:eastAsia="方正仿宋_GBK" w:cs="方正仿宋_GBK"/>
          <w:sz w:val="28"/>
          <w:szCs w:val="28"/>
        </w:rPr>
        <w:t>电子核签设备通过网络连接</w:t>
      </w:r>
      <w:r>
        <w:rPr>
          <w:rFonts w:hint="eastAsia" w:ascii="方正仿宋_GBK" w:hAnsi="方正仿宋_GBK" w:eastAsia="方正仿宋_GBK" w:cs="方正仿宋_GBK"/>
          <w:sz w:val="28"/>
          <w:szCs w:val="28"/>
          <w:lang w:val="en-US" w:eastAsia="zh-CN"/>
        </w:rPr>
        <w:t>庆市狂犬病</w:t>
      </w:r>
      <w:r>
        <w:rPr>
          <w:rFonts w:hint="eastAsia" w:ascii="方正仿宋_GBK" w:hAnsi="方正仿宋_GBK" w:eastAsia="方正仿宋_GBK" w:cs="方正仿宋_GBK"/>
          <w:sz w:val="28"/>
          <w:szCs w:val="28"/>
        </w:rPr>
        <w:t>防接种管理系统。登记医生在客户端系统中登记</w:t>
      </w:r>
      <w:r>
        <w:rPr>
          <w:rFonts w:hint="eastAsia" w:ascii="方正仿宋_GBK" w:hAnsi="方正仿宋_GBK" w:eastAsia="方正仿宋_GBK" w:cs="方正仿宋_GBK"/>
          <w:sz w:val="28"/>
          <w:szCs w:val="28"/>
          <w:lang w:val="en-US" w:eastAsia="zh-CN"/>
        </w:rPr>
        <w:t>受种者外伤暴露情况</w:t>
      </w:r>
      <w:r>
        <w:rPr>
          <w:rFonts w:hint="eastAsia" w:ascii="方正仿宋_GBK" w:hAnsi="方正仿宋_GBK" w:eastAsia="方正仿宋_GBK" w:cs="方正仿宋_GBK"/>
          <w:sz w:val="28"/>
          <w:szCs w:val="28"/>
        </w:rPr>
        <w:t>，同时调取对应疫苗的知情同意书。此时，</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可在电子核签设备屏幕上看到</w:t>
      </w:r>
      <w:r>
        <w:rPr>
          <w:rFonts w:hint="eastAsia" w:ascii="方正仿宋_GBK" w:hAnsi="方正仿宋_GBK" w:eastAsia="方正仿宋_GBK" w:cs="方正仿宋_GBK"/>
          <w:sz w:val="28"/>
          <w:szCs w:val="28"/>
          <w:lang w:val="en-US" w:eastAsia="zh-CN"/>
        </w:rPr>
        <w:t>狂犬病暴露情况，接种疫苗类型和接种程序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同时</w:t>
      </w:r>
      <w:r>
        <w:rPr>
          <w:rFonts w:hint="eastAsia" w:ascii="方正仿宋_GBK" w:hAnsi="方正仿宋_GBK" w:eastAsia="方正仿宋_GBK" w:cs="方正仿宋_GBK"/>
          <w:sz w:val="28"/>
          <w:szCs w:val="28"/>
        </w:rPr>
        <w:t>可查看</w:t>
      </w:r>
      <w:r>
        <w:rPr>
          <w:rFonts w:hint="eastAsia" w:ascii="方正仿宋_GBK" w:hAnsi="方正仿宋_GBK" w:eastAsia="方正仿宋_GBK" w:cs="方正仿宋_GBK"/>
          <w:sz w:val="28"/>
          <w:szCs w:val="28"/>
          <w:lang w:val="en-US" w:eastAsia="zh-CN"/>
        </w:rPr>
        <w:t>狂犬病疫苗接种</w:t>
      </w:r>
      <w:r>
        <w:rPr>
          <w:rFonts w:hint="eastAsia" w:ascii="方正仿宋_GBK" w:hAnsi="方正仿宋_GBK" w:eastAsia="方正仿宋_GBK" w:cs="方正仿宋_GBK"/>
          <w:sz w:val="28"/>
          <w:szCs w:val="28"/>
        </w:rPr>
        <w:t>知情同意书内容。知情同意书内容为</w:t>
      </w:r>
      <w:r>
        <w:rPr>
          <w:rFonts w:hint="eastAsia" w:ascii="方正仿宋_GBK" w:hAnsi="方正仿宋_GBK" w:eastAsia="方正仿宋_GBK" w:cs="方正仿宋_GBK"/>
          <w:sz w:val="28"/>
          <w:szCs w:val="28"/>
          <w:lang w:val="en-US" w:eastAsia="zh-CN"/>
        </w:rPr>
        <w:t>重庆市</w:t>
      </w:r>
      <w:r>
        <w:rPr>
          <w:rFonts w:hint="eastAsia" w:ascii="方正仿宋_GBK" w:hAnsi="方正仿宋_GBK" w:eastAsia="方正仿宋_GBK" w:cs="方正仿宋_GBK"/>
          <w:sz w:val="28"/>
          <w:szCs w:val="28"/>
        </w:rPr>
        <w:t>统一模板。</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可通过签字方式完成确认。签字与知情告知书内容同时存档，并自动保存到系统中。</w:t>
      </w:r>
    </w:p>
    <w:p w14:paraId="781CAF98">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9"/>
        <w:gridCol w:w="1594"/>
        <w:gridCol w:w="7148"/>
      </w:tblGrid>
      <w:tr w14:paraId="5F50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51A016B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序号</w:t>
            </w:r>
          </w:p>
        </w:tc>
        <w:tc>
          <w:tcPr>
            <w:tcW w:w="1594" w:type="dxa"/>
            <w:shd w:val="clear" w:color="auto" w:fill="auto"/>
            <w:noWrap/>
            <w:vAlign w:val="center"/>
          </w:tcPr>
          <w:p w14:paraId="6B92ACE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模块名称</w:t>
            </w:r>
          </w:p>
        </w:tc>
        <w:tc>
          <w:tcPr>
            <w:tcW w:w="7148" w:type="dxa"/>
            <w:shd w:val="clear" w:color="auto" w:fill="auto"/>
            <w:noWrap/>
            <w:vAlign w:val="center"/>
          </w:tcPr>
          <w:p w14:paraId="754DC92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参数配置</w:t>
            </w:r>
          </w:p>
        </w:tc>
      </w:tr>
      <w:tr w14:paraId="471D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488E4E8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w:t>
            </w:r>
          </w:p>
        </w:tc>
        <w:tc>
          <w:tcPr>
            <w:tcW w:w="1594" w:type="dxa"/>
            <w:shd w:val="clear" w:color="auto" w:fill="auto"/>
            <w:noWrap/>
            <w:vAlign w:val="center"/>
          </w:tcPr>
          <w:p w14:paraId="0487C7B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CPU</w:t>
            </w:r>
          </w:p>
        </w:tc>
        <w:tc>
          <w:tcPr>
            <w:tcW w:w="7148" w:type="dxa"/>
            <w:shd w:val="clear" w:color="auto" w:fill="auto"/>
            <w:noWrap/>
            <w:vAlign w:val="center"/>
          </w:tcPr>
          <w:p w14:paraId="02181A4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≥4核 1.0GHZ</w:t>
            </w:r>
          </w:p>
        </w:tc>
      </w:tr>
      <w:tr w14:paraId="45D4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30AA15C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w:t>
            </w:r>
          </w:p>
        </w:tc>
        <w:tc>
          <w:tcPr>
            <w:tcW w:w="1594" w:type="dxa"/>
            <w:shd w:val="clear" w:color="auto" w:fill="auto"/>
            <w:noWrap/>
            <w:vAlign w:val="center"/>
          </w:tcPr>
          <w:p w14:paraId="106CA34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内存/存储</w:t>
            </w:r>
          </w:p>
        </w:tc>
        <w:tc>
          <w:tcPr>
            <w:tcW w:w="7148" w:type="dxa"/>
            <w:shd w:val="clear" w:color="auto" w:fill="auto"/>
            <w:noWrap/>
            <w:vAlign w:val="center"/>
          </w:tcPr>
          <w:p w14:paraId="782AAF5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≥2G/8G</w:t>
            </w:r>
          </w:p>
        </w:tc>
      </w:tr>
      <w:tr w14:paraId="40BE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1CF33A5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w:t>
            </w:r>
          </w:p>
        </w:tc>
        <w:tc>
          <w:tcPr>
            <w:tcW w:w="1594" w:type="dxa"/>
            <w:shd w:val="clear" w:color="auto" w:fill="auto"/>
            <w:noWrap/>
            <w:vAlign w:val="center"/>
          </w:tcPr>
          <w:p w14:paraId="3573A5B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显示屏幕</w:t>
            </w:r>
          </w:p>
        </w:tc>
        <w:tc>
          <w:tcPr>
            <w:tcW w:w="7148" w:type="dxa"/>
            <w:shd w:val="clear" w:color="auto" w:fill="auto"/>
            <w:vAlign w:val="center"/>
          </w:tcPr>
          <w:p w14:paraId="03760D8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液晶显示屏，10.1寸屏，分辨率支持1280*800，亮度≥200cd/m²</w:t>
            </w:r>
          </w:p>
        </w:tc>
      </w:tr>
      <w:tr w14:paraId="38A5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756EE58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w:t>
            </w:r>
          </w:p>
        </w:tc>
        <w:tc>
          <w:tcPr>
            <w:tcW w:w="1594" w:type="dxa"/>
            <w:shd w:val="clear" w:color="auto" w:fill="auto"/>
            <w:noWrap/>
            <w:vAlign w:val="center"/>
          </w:tcPr>
          <w:p w14:paraId="726FEC0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w:t>
            </w:r>
          </w:p>
        </w:tc>
        <w:tc>
          <w:tcPr>
            <w:tcW w:w="7148" w:type="dxa"/>
            <w:shd w:val="clear" w:color="auto" w:fill="auto"/>
            <w:noWrap/>
            <w:vAlign w:val="center"/>
          </w:tcPr>
          <w:p w14:paraId="73B13054">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触摸屏幕，支持多点</w:t>
            </w:r>
          </w:p>
        </w:tc>
      </w:tr>
      <w:tr w14:paraId="04E4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31F9EA3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5</w:t>
            </w:r>
          </w:p>
        </w:tc>
        <w:tc>
          <w:tcPr>
            <w:tcW w:w="1594" w:type="dxa"/>
            <w:shd w:val="clear" w:color="auto" w:fill="auto"/>
            <w:noWrap/>
            <w:vAlign w:val="center"/>
          </w:tcPr>
          <w:p w14:paraId="720012A9">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外设</w:t>
            </w:r>
          </w:p>
        </w:tc>
        <w:tc>
          <w:tcPr>
            <w:tcW w:w="7148" w:type="dxa"/>
            <w:shd w:val="clear" w:color="auto" w:fill="auto"/>
            <w:noWrap/>
            <w:vAlign w:val="center"/>
          </w:tcPr>
          <w:p w14:paraId="1A847612">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配置200万以上摄像头，指纹仪和喇叭</w:t>
            </w:r>
          </w:p>
        </w:tc>
      </w:tr>
      <w:tr w14:paraId="4A0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66A32A5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6</w:t>
            </w:r>
          </w:p>
        </w:tc>
        <w:tc>
          <w:tcPr>
            <w:tcW w:w="1594" w:type="dxa"/>
            <w:shd w:val="clear" w:color="auto" w:fill="auto"/>
            <w:noWrap/>
            <w:vAlign w:val="center"/>
          </w:tcPr>
          <w:p w14:paraId="5CC11C3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网络</w:t>
            </w:r>
          </w:p>
        </w:tc>
        <w:tc>
          <w:tcPr>
            <w:tcW w:w="7148" w:type="dxa"/>
            <w:shd w:val="clear" w:color="auto" w:fill="auto"/>
            <w:noWrap/>
            <w:vAlign w:val="center"/>
          </w:tcPr>
          <w:p w14:paraId="6AA11216">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支持RJ45、Wi-Fi数据交互通信</w:t>
            </w:r>
          </w:p>
        </w:tc>
      </w:tr>
      <w:tr w14:paraId="73A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19" w:type="dxa"/>
            <w:shd w:val="clear" w:color="auto" w:fill="auto"/>
            <w:noWrap/>
            <w:vAlign w:val="center"/>
          </w:tcPr>
          <w:p w14:paraId="64717DF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7</w:t>
            </w:r>
          </w:p>
        </w:tc>
        <w:tc>
          <w:tcPr>
            <w:tcW w:w="1594" w:type="dxa"/>
            <w:shd w:val="clear" w:color="auto" w:fill="auto"/>
            <w:noWrap/>
            <w:vAlign w:val="center"/>
          </w:tcPr>
          <w:p w14:paraId="653898B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外观</w:t>
            </w:r>
          </w:p>
        </w:tc>
        <w:tc>
          <w:tcPr>
            <w:tcW w:w="7148" w:type="dxa"/>
            <w:shd w:val="clear" w:color="auto" w:fill="auto"/>
            <w:noWrap/>
            <w:vAlign w:val="center"/>
          </w:tcPr>
          <w:p w14:paraId="39E32EDF">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产品尺寸符合，易于摆放，屏幕有倾斜角度，便于观看</w:t>
            </w:r>
          </w:p>
        </w:tc>
      </w:tr>
    </w:tbl>
    <w:p w14:paraId="5B1B138B">
      <w:pPr>
        <w:pageBreakBefore w:val="0"/>
        <w:widowControl w:val="0"/>
        <w:numPr>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2.犬伤接种告知系统</w:t>
      </w:r>
    </w:p>
    <w:p w14:paraId="33DCE78A">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71F8CF94">
      <w:pPr>
        <w:pageBreakBefore w:val="0"/>
        <w:widowControl w:val="0"/>
        <w:kinsoku/>
        <w:wordWrap/>
        <w:overflowPunct/>
        <w:topLinePunct w:val="0"/>
        <w:autoSpaceDE/>
        <w:autoSpaceDN/>
        <w:bidi w:val="0"/>
        <w:adjustRightInd/>
        <w:snapToGrid/>
        <w:spacing w:line="240" w:lineRule="auto"/>
        <w:ind w:firstLine="48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①</w:t>
      </w:r>
      <w:r>
        <w:rPr>
          <w:rFonts w:hint="eastAsia" w:ascii="方正仿宋_GBK" w:hAnsi="方正仿宋_GBK" w:eastAsia="方正仿宋_GBK" w:cs="方正仿宋_GBK"/>
          <w:sz w:val="28"/>
          <w:szCs w:val="28"/>
          <w:lang w:val="en-US" w:eastAsia="zh-CN"/>
        </w:rPr>
        <w:t>用于狂犬病接种时的受种者电子验证环节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同时需包含安卓系统专用告知终端设备。</w:t>
      </w:r>
    </w:p>
    <w:p w14:paraId="542FB12E">
      <w:pPr>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②系统支持通过网络连接</w:t>
      </w:r>
      <w:r>
        <w:rPr>
          <w:rFonts w:hint="eastAsia" w:ascii="方正仿宋_GBK" w:hAnsi="方正仿宋_GBK" w:eastAsia="方正仿宋_GBK" w:cs="方正仿宋_GBK"/>
          <w:sz w:val="28"/>
          <w:szCs w:val="28"/>
          <w:lang w:val="en-US" w:eastAsia="zh-CN"/>
        </w:rPr>
        <w:t>重庆市狂犬病</w:t>
      </w:r>
      <w:r>
        <w:rPr>
          <w:rFonts w:hint="eastAsia" w:ascii="方正仿宋_GBK" w:hAnsi="方正仿宋_GBK" w:eastAsia="方正仿宋_GBK" w:cs="方正仿宋_GBK"/>
          <w:sz w:val="28"/>
          <w:szCs w:val="28"/>
        </w:rPr>
        <w:t>防接种管理系统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在接种前，接种医生扫描疫苗药监码后，在终端设备上可显示出该疫苗的疫苗名称、厂家、批号、效期等信息，同时可自动与登记台医生在预防接种信息系统中登记的当天待接种疫苗信息进行核对，由</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进行确认和</w:t>
      </w:r>
      <w:r>
        <w:rPr>
          <w:rFonts w:hint="eastAsia" w:ascii="方正仿宋_GBK" w:hAnsi="方正仿宋_GBK" w:eastAsia="方正仿宋_GBK" w:cs="方正仿宋_GBK"/>
          <w:sz w:val="28"/>
          <w:szCs w:val="28"/>
          <w:lang w:val="en-US" w:eastAsia="zh-CN"/>
        </w:rPr>
        <w:t>签字</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受种者签字</w:t>
      </w:r>
      <w:r>
        <w:rPr>
          <w:rFonts w:hint="eastAsia" w:ascii="方正仿宋_GBK" w:hAnsi="方正仿宋_GBK" w:eastAsia="方正仿宋_GBK" w:cs="方正仿宋_GBK"/>
          <w:sz w:val="28"/>
          <w:szCs w:val="28"/>
        </w:rPr>
        <w:t>和疫苗信息同时存档，并自动保存到系统中。</w:t>
      </w:r>
    </w:p>
    <w:p w14:paraId="7643B81A">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1680"/>
        <w:gridCol w:w="7036"/>
      </w:tblGrid>
      <w:tr w14:paraId="594B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779" w:type="dxa"/>
            <w:shd w:val="clear" w:color="auto" w:fill="auto"/>
            <w:noWrap/>
            <w:vAlign w:val="center"/>
          </w:tcPr>
          <w:p w14:paraId="5AFB502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序号</w:t>
            </w:r>
          </w:p>
        </w:tc>
        <w:tc>
          <w:tcPr>
            <w:tcW w:w="1680" w:type="dxa"/>
            <w:shd w:val="clear" w:color="auto" w:fill="auto"/>
            <w:noWrap/>
            <w:vAlign w:val="center"/>
          </w:tcPr>
          <w:p w14:paraId="4AD4C34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模块名称</w:t>
            </w:r>
          </w:p>
        </w:tc>
        <w:tc>
          <w:tcPr>
            <w:tcW w:w="7036" w:type="dxa"/>
            <w:shd w:val="clear" w:color="auto" w:fill="auto"/>
            <w:noWrap/>
            <w:vAlign w:val="center"/>
          </w:tcPr>
          <w:p w14:paraId="24DCAAF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参数配置</w:t>
            </w:r>
          </w:p>
        </w:tc>
      </w:tr>
      <w:tr w14:paraId="5E5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3D6EC96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w:t>
            </w:r>
          </w:p>
        </w:tc>
        <w:tc>
          <w:tcPr>
            <w:tcW w:w="1680" w:type="dxa"/>
            <w:shd w:val="clear" w:color="auto" w:fill="auto"/>
            <w:noWrap/>
            <w:vAlign w:val="center"/>
          </w:tcPr>
          <w:p w14:paraId="5235454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CPU</w:t>
            </w:r>
          </w:p>
        </w:tc>
        <w:tc>
          <w:tcPr>
            <w:tcW w:w="7036" w:type="dxa"/>
            <w:shd w:val="clear" w:color="auto" w:fill="auto"/>
            <w:noWrap/>
            <w:vAlign w:val="center"/>
          </w:tcPr>
          <w:p w14:paraId="6E53704A">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≥4核 1.0GHZ</w:t>
            </w:r>
          </w:p>
        </w:tc>
      </w:tr>
      <w:tr w14:paraId="4BB6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1EDFE88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w:t>
            </w:r>
          </w:p>
        </w:tc>
        <w:tc>
          <w:tcPr>
            <w:tcW w:w="1680" w:type="dxa"/>
            <w:shd w:val="clear" w:color="auto" w:fill="auto"/>
            <w:noWrap/>
            <w:vAlign w:val="center"/>
          </w:tcPr>
          <w:p w14:paraId="061A6D6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内存/存储</w:t>
            </w:r>
          </w:p>
        </w:tc>
        <w:tc>
          <w:tcPr>
            <w:tcW w:w="7036" w:type="dxa"/>
            <w:shd w:val="clear" w:color="auto" w:fill="auto"/>
            <w:noWrap/>
            <w:vAlign w:val="center"/>
          </w:tcPr>
          <w:p w14:paraId="1991F14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≥2G/8G</w:t>
            </w:r>
          </w:p>
        </w:tc>
      </w:tr>
      <w:tr w14:paraId="3463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6E05E46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w:t>
            </w:r>
          </w:p>
        </w:tc>
        <w:tc>
          <w:tcPr>
            <w:tcW w:w="1680" w:type="dxa"/>
            <w:shd w:val="clear" w:color="auto" w:fill="auto"/>
            <w:noWrap/>
            <w:vAlign w:val="center"/>
          </w:tcPr>
          <w:p w14:paraId="1B1B50D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显示屏幕</w:t>
            </w:r>
          </w:p>
        </w:tc>
        <w:tc>
          <w:tcPr>
            <w:tcW w:w="7036" w:type="dxa"/>
            <w:shd w:val="clear" w:color="auto" w:fill="auto"/>
            <w:vAlign w:val="center"/>
          </w:tcPr>
          <w:p w14:paraId="0454710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液晶显示屏，10.1寸屏，分辨率支持1280*800，亮度≥200cd/m²</w:t>
            </w:r>
          </w:p>
        </w:tc>
      </w:tr>
      <w:tr w14:paraId="202B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18341E3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w:t>
            </w:r>
          </w:p>
        </w:tc>
        <w:tc>
          <w:tcPr>
            <w:tcW w:w="1680" w:type="dxa"/>
            <w:shd w:val="clear" w:color="auto" w:fill="auto"/>
            <w:noWrap/>
            <w:vAlign w:val="center"/>
          </w:tcPr>
          <w:p w14:paraId="18F7A1B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w:t>
            </w:r>
          </w:p>
        </w:tc>
        <w:tc>
          <w:tcPr>
            <w:tcW w:w="7036" w:type="dxa"/>
            <w:shd w:val="clear" w:color="auto" w:fill="auto"/>
            <w:noWrap/>
            <w:vAlign w:val="center"/>
          </w:tcPr>
          <w:p w14:paraId="661A9B1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触摸屏幕，支持多点</w:t>
            </w:r>
          </w:p>
        </w:tc>
      </w:tr>
      <w:tr w14:paraId="21C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39DABAA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5</w:t>
            </w:r>
          </w:p>
        </w:tc>
        <w:tc>
          <w:tcPr>
            <w:tcW w:w="1680" w:type="dxa"/>
            <w:shd w:val="clear" w:color="auto" w:fill="auto"/>
            <w:noWrap/>
            <w:vAlign w:val="center"/>
          </w:tcPr>
          <w:p w14:paraId="558360BF">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外设</w:t>
            </w:r>
          </w:p>
        </w:tc>
        <w:tc>
          <w:tcPr>
            <w:tcW w:w="7036" w:type="dxa"/>
            <w:shd w:val="clear" w:color="auto" w:fill="auto"/>
            <w:noWrap/>
            <w:vAlign w:val="center"/>
          </w:tcPr>
          <w:p w14:paraId="7B868D0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配置200万以上摄像头，指纹仪和喇叭</w:t>
            </w:r>
          </w:p>
        </w:tc>
      </w:tr>
      <w:tr w14:paraId="7923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306B481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6</w:t>
            </w:r>
          </w:p>
        </w:tc>
        <w:tc>
          <w:tcPr>
            <w:tcW w:w="1680" w:type="dxa"/>
            <w:shd w:val="clear" w:color="auto" w:fill="auto"/>
            <w:noWrap/>
            <w:vAlign w:val="center"/>
          </w:tcPr>
          <w:p w14:paraId="7B61D6AF">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网络</w:t>
            </w:r>
          </w:p>
        </w:tc>
        <w:tc>
          <w:tcPr>
            <w:tcW w:w="7036" w:type="dxa"/>
            <w:shd w:val="clear" w:color="auto" w:fill="auto"/>
            <w:noWrap/>
            <w:vAlign w:val="center"/>
          </w:tcPr>
          <w:p w14:paraId="0C345EA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支持RJ45、Wi-Fi数据交互通信</w:t>
            </w:r>
          </w:p>
        </w:tc>
      </w:tr>
      <w:tr w14:paraId="47D6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1817945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7</w:t>
            </w:r>
          </w:p>
        </w:tc>
        <w:tc>
          <w:tcPr>
            <w:tcW w:w="1680" w:type="dxa"/>
            <w:shd w:val="clear" w:color="auto" w:fill="auto"/>
            <w:noWrap/>
            <w:vAlign w:val="center"/>
          </w:tcPr>
          <w:p w14:paraId="6A08301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外观</w:t>
            </w:r>
          </w:p>
        </w:tc>
        <w:tc>
          <w:tcPr>
            <w:tcW w:w="7036" w:type="dxa"/>
            <w:shd w:val="clear" w:color="auto" w:fill="auto"/>
            <w:noWrap/>
            <w:vAlign w:val="center"/>
          </w:tcPr>
          <w:p w14:paraId="457A1C1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产品尺寸符合，易于摆放，屏幕有倾斜角度，便于观看</w:t>
            </w:r>
          </w:p>
        </w:tc>
      </w:tr>
    </w:tbl>
    <w:p w14:paraId="1B0DD0EB">
      <w:pPr>
        <w:numPr>
          <w:numId w:val="0"/>
        </w:numPr>
        <w:ind w:leftChars="0" w:firstLine="562"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3.狂犬病暴露预防接种自助留观系统</w:t>
      </w:r>
    </w:p>
    <w:p w14:paraId="65C6F64B">
      <w:pPr>
        <w:pStyle w:val="5"/>
        <w:pageBreakBefore w:val="0"/>
        <w:kinsoku/>
        <w:wordWrap/>
        <w:overflowPunct/>
        <w:topLinePunct w:val="0"/>
        <w:autoSpaceDE/>
        <w:autoSpaceDN/>
        <w:bidi w:val="0"/>
        <w:spacing w:before="20" w:after="20" w:line="240" w:lineRule="auto"/>
        <w:ind w:right="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系统功能要求</w:t>
      </w:r>
    </w:p>
    <w:p w14:paraId="50334DC6">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狂犬病暴露预防接种门诊（以下简称“犬伤门诊”）受种者自助留观功能，支持与重庆市狂犬病暴露预防接种信息系统实现实时的互联互通。支持受种者通过刷身份证、扫描接种凭证条形码或二维码等相关介质实现自助留观功能，支持展示受种者基本信息、留观到点时间、是否到点等信息。支持记录留观时间，同时支持生成有效的留观评价，如合格、不合格等。</w:t>
      </w:r>
    </w:p>
    <w:p w14:paraId="57DA6817">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各犬伤门诊查看犬伤门诊预防接种自助留观汇总与明细情况，支持导出功能。支持从接种日期范围、留观状态、疫苗类别等多个维度查看留观情况，同时支持查看单独某个受种者的留观情况。留观汇总情况包含但不限于留观数量、留观率、未留观数、留观合格数、留观不合数等，留观明细情况包含但不限于人员姓名、生日、疫苗名称、剂次、接种日期、留观时间、留观评价等。</w:t>
      </w:r>
    </w:p>
    <w:p w14:paraId="021F91D1">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支持留观大屏显示功能，留观大屏支持显示受种者姓名、留观剩余时间，支持对已留观到点的受种者进行提示等，支持与多媒体视频发布模块协同工作，在等候时可以播放宣教片。</w:t>
      </w:r>
    </w:p>
    <w:p w14:paraId="3C356211">
      <w:pPr>
        <w:pStyle w:val="5"/>
        <w:pageBreakBefore w:val="0"/>
        <w:numPr>
          <w:numId w:val="0"/>
        </w:numPr>
        <w:kinsoku/>
        <w:wordWrap/>
        <w:overflowPunct/>
        <w:topLinePunct w:val="0"/>
        <w:autoSpaceDE/>
        <w:autoSpaceDN/>
        <w:bidi w:val="0"/>
        <w:spacing w:before="20" w:after="20" w:line="240" w:lineRule="auto"/>
        <w:ind w:right="0" w:righ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94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14"/>
      </w:tblGrid>
      <w:tr w14:paraId="5686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7676AFC9">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主要构成项</w:t>
            </w:r>
          </w:p>
        </w:tc>
        <w:tc>
          <w:tcPr>
            <w:tcW w:w="7614" w:type="dxa"/>
            <w:vAlign w:val="center"/>
          </w:tcPr>
          <w:p w14:paraId="50C093DF">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主要参数</w:t>
            </w:r>
          </w:p>
        </w:tc>
      </w:tr>
      <w:tr w14:paraId="05C6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75" w:type="dxa"/>
            <w:vAlign w:val="center"/>
          </w:tcPr>
          <w:p w14:paraId="3D04B547">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机柜</w:t>
            </w:r>
          </w:p>
        </w:tc>
        <w:tc>
          <w:tcPr>
            <w:tcW w:w="7614" w:type="dxa"/>
            <w:vAlign w:val="center"/>
          </w:tcPr>
          <w:p w14:paraId="7D2B2B59">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整体机柜</w:t>
            </w:r>
            <w:r>
              <w:rPr>
                <w:rFonts w:hint="eastAsia" w:ascii="方正仿宋_GBK" w:hAnsi="方正仿宋_GBK" w:eastAsia="方正仿宋_GBK" w:cs="方正仿宋_GBK"/>
                <w:sz w:val="28"/>
                <w:szCs w:val="28"/>
                <w:lang w:val="en-US" w:eastAsia="zh-CN"/>
              </w:rPr>
              <w:t>外观应符合人体工程需，符合</w:t>
            </w:r>
            <w:r>
              <w:rPr>
                <w:rFonts w:hint="eastAsia" w:ascii="方正仿宋_GBK" w:hAnsi="方正仿宋_GBK" w:eastAsia="方正仿宋_GBK" w:cs="方正仿宋_GBK"/>
                <w:sz w:val="28"/>
                <w:szCs w:val="28"/>
                <w:lang w:val="zh-CN"/>
              </w:rPr>
              <w:t>现场环境进行设计，柜型为立式机柜，显示口</w:t>
            </w:r>
            <w:r>
              <w:rPr>
                <w:rFonts w:hint="eastAsia" w:ascii="方正仿宋_GBK" w:hAnsi="方正仿宋_GBK" w:eastAsia="方正仿宋_GBK" w:cs="方正仿宋_GBK"/>
                <w:sz w:val="28"/>
                <w:szCs w:val="28"/>
                <w:lang w:val="en-US" w:eastAsia="zh-CN"/>
              </w:rPr>
              <w:t>≥19寸</w:t>
            </w:r>
            <w:r>
              <w:rPr>
                <w:rFonts w:hint="eastAsia" w:ascii="方正仿宋_GBK" w:hAnsi="方正仿宋_GBK" w:eastAsia="方正仿宋_GBK" w:cs="方正仿宋_GBK"/>
                <w:sz w:val="28"/>
                <w:szCs w:val="28"/>
                <w:lang w:val="zh-CN"/>
              </w:rPr>
              <w:t>；机柜内部线路板接口要求：</w:t>
            </w:r>
            <w:r>
              <w:rPr>
                <w:rFonts w:hint="eastAsia" w:ascii="方正仿宋_GBK" w:hAnsi="方正仿宋_GBK" w:eastAsia="方正仿宋_GBK" w:cs="方正仿宋_GBK"/>
                <w:sz w:val="28"/>
                <w:szCs w:val="28"/>
                <w:lang w:val="en-US" w:eastAsia="zh-CN"/>
              </w:rPr>
              <w:t>网络接口≥1个、USB接口≥1个，</w:t>
            </w:r>
            <w:r>
              <w:rPr>
                <w:rFonts w:hint="eastAsia" w:ascii="方正仿宋_GBK" w:hAnsi="方正仿宋_GBK" w:eastAsia="方正仿宋_GBK" w:cs="方正仿宋_GBK"/>
                <w:sz w:val="28"/>
                <w:szCs w:val="28"/>
                <w:lang w:val="zh-CN"/>
              </w:rPr>
              <w:t>VGA和HDMI双显示接口</w:t>
            </w:r>
            <w:r>
              <w:rPr>
                <w:rFonts w:hint="eastAsia" w:ascii="方正仿宋_GBK" w:hAnsi="方正仿宋_GBK" w:eastAsia="方正仿宋_GBK" w:cs="方正仿宋_GBK"/>
                <w:sz w:val="28"/>
                <w:szCs w:val="28"/>
                <w:lang w:val="en-US" w:eastAsia="zh-CN"/>
              </w:rPr>
              <w:t>,配置喇叭，设备启动按钮及电源开关。</w:t>
            </w:r>
          </w:p>
        </w:tc>
      </w:tr>
      <w:tr w14:paraId="34D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2B5B9D66">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显示设备</w:t>
            </w:r>
          </w:p>
        </w:tc>
        <w:tc>
          <w:tcPr>
            <w:tcW w:w="7614" w:type="dxa"/>
            <w:vAlign w:val="center"/>
          </w:tcPr>
          <w:p w14:paraId="60B115DB">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≥19寸</w:t>
            </w:r>
            <w:r>
              <w:rPr>
                <w:rFonts w:hint="eastAsia" w:ascii="方正仿宋_GBK" w:hAnsi="方正仿宋_GBK" w:eastAsia="方正仿宋_GBK" w:cs="方正仿宋_GBK"/>
                <w:sz w:val="28"/>
                <w:szCs w:val="28"/>
                <w:lang w:val="zh-CN"/>
              </w:rPr>
              <w:t>高清液晶显示器，输入输出接口类型 VGA或HDMI，</w:t>
            </w:r>
            <w:r>
              <w:rPr>
                <w:rFonts w:hint="eastAsia" w:ascii="方正仿宋_GBK" w:hAnsi="方正仿宋_GBK" w:eastAsia="方正仿宋_GBK" w:cs="方正仿宋_GBK"/>
                <w:sz w:val="28"/>
                <w:szCs w:val="28"/>
                <w:lang w:val="en-US" w:eastAsia="zh-CN"/>
              </w:rPr>
              <w:t>支持电容触摸。</w:t>
            </w:r>
          </w:p>
        </w:tc>
      </w:tr>
      <w:tr w14:paraId="4463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26637071">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打印机</w:t>
            </w:r>
          </w:p>
        </w:tc>
        <w:tc>
          <w:tcPr>
            <w:tcW w:w="7614" w:type="dxa"/>
            <w:vAlign w:val="center"/>
          </w:tcPr>
          <w:p w14:paraId="0DA46E84">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配置热敏打印机</w:t>
            </w:r>
            <w:r>
              <w:rPr>
                <w:rFonts w:hint="eastAsia" w:ascii="方正仿宋_GBK" w:hAnsi="方正仿宋_GBK" w:eastAsia="方正仿宋_GBK" w:cs="方正仿宋_GBK"/>
                <w:sz w:val="28"/>
                <w:szCs w:val="28"/>
                <w:lang w:val="zh-CN"/>
              </w:rPr>
              <w:t xml:space="preserve">，进纸方式：弯曲式、平直式或下落式送纸轨道，打印纸宽： 79.5±0.5mm </w:t>
            </w:r>
          </w:p>
        </w:tc>
      </w:tr>
      <w:tr w14:paraId="6519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26E79194">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二维扫描仪</w:t>
            </w:r>
          </w:p>
        </w:tc>
        <w:tc>
          <w:tcPr>
            <w:tcW w:w="7614" w:type="dxa"/>
            <w:vAlign w:val="center"/>
          </w:tcPr>
          <w:p w14:paraId="0670CD68">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解码能力：自动识别标准一维码和二维码，系统接口：RS232串口,USB口</w:t>
            </w:r>
          </w:p>
        </w:tc>
      </w:tr>
      <w:tr w14:paraId="4341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076532B3">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主机</w:t>
            </w:r>
          </w:p>
        </w:tc>
        <w:tc>
          <w:tcPr>
            <w:tcW w:w="7614" w:type="dxa"/>
            <w:vAlign w:val="center"/>
          </w:tcPr>
          <w:p w14:paraId="671B0046">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采用低功耗工业主板</w:t>
            </w:r>
            <w:r>
              <w:rPr>
                <w:rFonts w:hint="eastAsia" w:ascii="方正仿宋_GBK" w:hAnsi="方正仿宋_GBK" w:eastAsia="方正仿宋_GBK" w:cs="方正仿宋_GBK"/>
                <w:sz w:val="28"/>
                <w:szCs w:val="28"/>
                <w:lang w:val="en-US" w:eastAsia="zh-CN"/>
              </w:rPr>
              <w:t>，内存≥4GB, 硬盘≥100GB（固态）</w:t>
            </w:r>
          </w:p>
        </w:tc>
      </w:tr>
      <w:tr w14:paraId="414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5DCC56A6">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其他</w:t>
            </w:r>
          </w:p>
        </w:tc>
        <w:tc>
          <w:tcPr>
            <w:tcW w:w="7614" w:type="dxa"/>
            <w:vAlign w:val="center"/>
          </w:tcPr>
          <w:p w14:paraId="5D6206CB">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支持身份证离线读卡，与内置留观软件可集成使用。</w:t>
            </w:r>
          </w:p>
        </w:tc>
      </w:tr>
    </w:tbl>
    <w:p w14:paraId="0694CFA9">
      <w:pPr>
        <w:pStyle w:val="5"/>
        <w:pageBreakBefore w:val="0"/>
        <w:kinsoku/>
        <w:wordWrap/>
        <w:overflowPunct/>
        <w:topLinePunct w:val="0"/>
        <w:autoSpaceDE/>
        <w:autoSpaceDN/>
        <w:bidi w:val="0"/>
        <w:spacing w:before="20" w:after="20" w:line="240" w:lineRule="auto"/>
        <w:ind w:right="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其他要求</w:t>
      </w:r>
    </w:p>
    <w:p w14:paraId="1C304311">
      <w:pPr>
        <w:pageBreakBefore w:val="0"/>
        <w:widowControl/>
        <w:kinsoku/>
        <w:wordWrap/>
        <w:overflowPunct/>
        <w:topLinePunct w:val="0"/>
        <w:autoSpaceDE/>
        <w:autoSpaceDN/>
        <w:bidi w:val="0"/>
        <w:adjustRightInd w:val="0"/>
        <w:snapToGrid w:val="0"/>
        <w:spacing w:before="20" w:after="20" w:line="240" w:lineRule="auto"/>
        <w:ind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需沿用重庆市免疫规划信息管理系统的统一数据标准，需与重庆市狂犬病暴露预防接种信息系统实现无缝对接。重庆市狂犬病暴露预防接种信息系统升级调整时，犬伤留观系统也需要同步完成升级，不得出现影响重庆市狂犬病暴露预防接种信息系统运行的情况。</w:t>
      </w:r>
    </w:p>
    <w:p w14:paraId="6D5E300F">
      <w:pPr>
        <w:pageBreakBefore w:val="0"/>
        <w:numPr>
          <w:numId w:val="0"/>
        </w:numPr>
        <w:kinsoku/>
        <w:wordWrap/>
        <w:overflowPunct/>
        <w:topLinePunct w:val="0"/>
        <w:autoSpaceDE/>
        <w:autoSpaceDN/>
        <w:bidi w:val="0"/>
        <w:spacing w:before="20" w:after="20" w:line="240" w:lineRule="auto"/>
        <w:ind w:leftChars="0" w:right="0" w:rightChars="0" w:firstLine="562" w:firstLineChars="200"/>
        <w:jc w:val="both"/>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4.数字化预防接种门诊候诊信息显示系统（大屏）</w:t>
      </w:r>
    </w:p>
    <w:p w14:paraId="648B495E">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528ED854">
      <w:pPr>
        <w:pageBreakBefore w:val="0"/>
        <w:widowControl w:val="0"/>
        <w:kinsoku/>
        <w:wordWrap/>
        <w:overflowPunct/>
        <w:topLinePunct w:val="0"/>
        <w:autoSpaceDE/>
        <w:autoSpaceDN/>
        <w:bidi w:val="0"/>
        <w:adjustRightInd/>
        <w:snapToGrid/>
        <w:spacing w:line="240" w:lineRule="auto"/>
        <w:ind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留观大屏能够显示未留观完成的受种者需留观剩余时间，提醒已经留观到点的受种者，与多媒体视频发布模块协同工作，在等候时可以播放宣教片</w:t>
      </w:r>
    </w:p>
    <w:p w14:paraId="3B3A8A25">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(2)专用硬件要求  </w:t>
      </w:r>
    </w:p>
    <w:tbl>
      <w:tblPr>
        <w:tblStyle w:val="14"/>
        <w:tblW w:w="0" w:type="auto"/>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0"/>
        <w:gridCol w:w="7213"/>
      </w:tblGrid>
      <w:tr w14:paraId="6843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F5C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主要构成项目</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7C4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参数</w:t>
            </w:r>
          </w:p>
        </w:tc>
      </w:tr>
      <w:tr w14:paraId="69BF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DD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液晶屏</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DE5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屏幕尺寸≥ 55寸（尺寸根据实际调整）；</w:t>
            </w:r>
          </w:p>
          <w:p w14:paraId="55E4155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分辨率支持：1920*1080；</w:t>
            </w:r>
          </w:p>
          <w:p w14:paraId="468D33E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显示比例支持：16:9</w:t>
            </w:r>
          </w:p>
          <w:p w14:paraId="1306818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显示亮度：≥ 300cd/㎡</w:t>
            </w:r>
          </w:p>
        </w:tc>
      </w:tr>
      <w:tr w14:paraId="6562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26E8">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主板</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97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CPU:四核,≥1.0 GHz</w:t>
            </w:r>
          </w:p>
          <w:p w14:paraId="1374190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内存：≥1.0 G</w:t>
            </w:r>
          </w:p>
          <w:p w14:paraId="5A551210">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存储：≥8.0 G</w:t>
            </w:r>
          </w:p>
        </w:tc>
      </w:tr>
      <w:tr w14:paraId="368D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98B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接口</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EBF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提供外部USB接口</w:t>
            </w:r>
          </w:p>
        </w:tc>
      </w:tr>
      <w:tr w14:paraId="26B9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D80B">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网络</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E7A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支持RJ45有线网络</w:t>
            </w:r>
          </w:p>
        </w:tc>
      </w:tr>
      <w:tr w14:paraId="3827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26E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其他</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1EA2">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220V/50HZ电源供电，内置喇叭，不小于8Ω</w:t>
            </w:r>
          </w:p>
        </w:tc>
      </w:tr>
    </w:tbl>
    <w:p w14:paraId="13E4B9D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44000元。报价要求：本次报价为人民币包干价，包含：货款、安装调试费（维护费）、资料装订及邮寄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bookmarkStart w:id="7" w:name="_GoBack"/>
      <w:bookmarkEnd w:id="7"/>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7CBAE9CC">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479D611C">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四、</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6A0899CF">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五</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43607F2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六、</w:t>
      </w:r>
      <w:r>
        <w:rPr>
          <w:rFonts w:hint="eastAsia" w:ascii="微软雅黑" w:hAnsi="微软雅黑" w:eastAsia="微软雅黑" w:cs="方正小标宋_GBK"/>
          <w:b/>
          <w:bCs/>
          <w:sz w:val="32"/>
          <w:szCs w:val="32"/>
        </w:rPr>
        <w:t>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CA5017B">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156196472"/>
      <w:bookmarkStart w:id="3" w:name="_Toc237057793"/>
      <w:bookmarkStart w:id="4" w:name="_Toc128229747"/>
      <w:bookmarkStart w:id="5" w:name="_Toc128229304"/>
      <w:bookmarkStart w:id="6" w:name="_Toc173677399"/>
    </w:p>
    <w:p w14:paraId="176EE9C2">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八、</w:t>
      </w:r>
      <w:r>
        <w:rPr>
          <w:rFonts w:hint="eastAsia"/>
          <w:color w:val="auto"/>
          <w:sz w:val="28"/>
          <w:szCs w:val="28"/>
        </w:rPr>
        <w:t>投标人法定代表人授权委托书（格式）</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3341EA35">
      <w:pPr>
        <w:tabs>
          <w:tab w:val="left" w:pos="6300"/>
        </w:tabs>
        <w:adjustRightInd w:val="0"/>
        <w:snapToGrid w:val="0"/>
        <w:spacing w:line="360" w:lineRule="auto"/>
        <w:rPr>
          <w:rFonts w:ascii="仿宋" w:hAnsi="仿宋" w:eastAsia="仿宋"/>
          <w:b/>
          <w:snapToGrid w:val="0"/>
          <w:color w:val="auto"/>
          <w:kern w:val="0"/>
          <w:sz w:val="24"/>
        </w:rPr>
      </w:pPr>
    </w:p>
    <w:p w14:paraId="0A03B2E4">
      <w:pPr>
        <w:tabs>
          <w:tab w:val="left" w:pos="6300"/>
        </w:tabs>
        <w:adjustRightInd w:val="0"/>
        <w:snapToGrid w:val="0"/>
        <w:spacing w:line="360" w:lineRule="auto"/>
        <w:rPr>
          <w:rFonts w:ascii="仿宋" w:hAnsi="仿宋" w:eastAsia="仿宋"/>
          <w:b/>
          <w:snapToGrid w:val="0"/>
          <w:color w:val="auto"/>
          <w:kern w:val="0"/>
          <w:sz w:val="24"/>
        </w:rPr>
      </w:pPr>
    </w:p>
    <w:p w14:paraId="7D4D9BFE">
      <w:pPr>
        <w:pStyle w:val="6"/>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九、本项目其他采购人的业绩资料（如合同或发票）。</w:t>
      </w:r>
    </w:p>
    <w:p w14:paraId="4F9D06F0">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523F431F">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十、其他可以证明投标人有能力完成本项目的佐证材料（如供应商、生产厂家资料等）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十二、</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十五、纸质密封档案袋要求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3630</Words>
  <Characters>3717</Characters>
  <Lines>0</Lines>
  <Paragraphs>0</Paragraphs>
  <TotalTime>2</TotalTime>
  <ScaleCrop>false</ScaleCrop>
  <LinksUpToDate>false</LinksUpToDate>
  <CharactersWithSpaces>4275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2024-08-06T10:11:25Z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