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项目名称：献血纪念品等物资</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项目编号：BSRMYY-YNCG-2024-05007</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4378"/>
        <w:gridCol w:w="1063"/>
        <w:gridCol w:w="130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4378"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63"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eastAsia="zh-CN"/>
              </w:rPr>
              <w:t>数量（张）</w:t>
            </w:r>
          </w:p>
        </w:tc>
        <w:tc>
          <w:tcPr>
            <w:tcW w:w="1309"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c>
          <w:tcPr>
            <w:tcW w:w="1283" w:type="dxa"/>
            <w:vAlign w:val="center"/>
          </w:tcPr>
          <w:p>
            <w:pPr>
              <w:widowControl/>
              <w:spacing w:line="360" w:lineRule="auto"/>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合计限价（元）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rPr>
              <w:t>手持小风扇</w:t>
            </w:r>
          </w:p>
        </w:tc>
        <w:tc>
          <w:tcPr>
            <w:tcW w:w="4378"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rPr>
              <w:t>6500mAh,可折叠，USB接口，智能数显，5档可调</w:t>
            </w:r>
            <w:r>
              <w:rPr>
                <w:rFonts w:hint="eastAsia" w:ascii="Times New Roman" w:hAnsi="Times New Roman" w:eastAsia="仿宋" w:cs="Times New Roman"/>
                <w:b/>
                <w:kern w:val="0"/>
                <w:sz w:val="24"/>
                <w:szCs w:val="24"/>
                <w:lang w:eastAsia="zh-CN"/>
              </w:rPr>
              <w:t>；</w:t>
            </w:r>
            <w:r>
              <w:rPr>
                <w:rFonts w:hint="eastAsia" w:ascii="Times New Roman" w:hAnsi="Times New Roman" w:eastAsia="仿宋" w:cs="Times New Roman"/>
                <w:b/>
                <w:kern w:val="0"/>
                <w:sz w:val="24"/>
                <w:szCs w:val="24"/>
                <w:lang w:val="en-US" w:eastAsia="zh-CN"/>
              </w:rPr>
              <w:t>推荐品牌：小米</w:t>
            </w:r>
          </w:p>
        </w:tc>
        <w:tc>
          <w:tcPr>
            <w:tcW w:w="1063" w:type="dxa"/>
            <w:vAlign w:val="top"/>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rPr>
              <w:t>250</w:t>
            </w:r>
          </w:p>
        </w:tc>
        <w:tc>
          <w:tcPr>
            <w:tcW w:w="1309" w:type="dxa"/>
            <w:vAlign w:val="top"/>
          </w:tcPr>
          <w:p>
            <w:pPr>
              <w:widowControl/>
              <w:spacing w:line="360" w:lineRule="auto"/>
              <w:jc w:val="center"/>
              <w:rPr>
                <w:rFonts w:hint="eastAsia"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rPr>
              <w:t>16</w:t>
            </w:r>
          </w:p>
        </w:tc>
        <w:tc>
          <w:tcPr>
            <w:tcW w:w="1283" w:type="dxa"/>
            <w:vMerge w:val="restart"/>
            <w:vAlign w:val="center"/>
          </w:tcPr>
          <w:p>
            <w:pPr>
              <w:jc w:val="center"/>
              <w:rPr>
                <w:rFonts w:hint="default" w:eastAsiaTheme="minorEastAsia"/>
                <w:sz w:val="32"/>
                <w:szCs w:val="32"/>
                <w:lang w:val="en-US" w:eastAsia="zh-CN"/>
              </w:rPr>
            </w:pPr>
            <w:r>
              <w:rPr>
                <w:rFonts w:hint="eastAsia" w:ascii="Times New Roman" w:hAnsi="Times New Roman" w:eastAsia="仿宋" w:cs="Times New Roman"/>
                <w:b/>
                <w:kern w:val="0"/>
                <w:sz w:val="24"/>
                <w:szCs w:val="24"/>
                <w:lang w:val="en-US" w:eastAsia="zh-CN" w:bidi="ar-SA"/>
              </w:rPr>
              <w:t>2</w:t>
            </w:r>
            <w:bookmarkStart w:id="31" w:name="_GoBack"/>
            <w:bookmarkEnd w:id="31"/>
            <w:r>
              <w:rPr>
                <w:rFonts w:hint="eastAsia" w:ascii="Times New Roman" w:hAnsi="Times New Roman" w:eastAsia="仿宋" w:cs="Times New Roman"/>
                <w:b/>
                <w:kern w:val="0"/>
                <w:sz w:val="24"/>
                <w:szCs w:val="24"/>
                <w:lang w:val="en-US" w:eastAsia="zh-CN" w:bidi="ar-SA"/>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太阳伞</w:t>
            </w:r>
          </w:p>
        </w:tc>
        <w:tc>
          <w:tcPr>
            <w:tcW w:w="4378" w:type="dxa"/>
            <w:vAlign w:val="center"/>
          </w:tcPr>
          <w:p>
            <w:pPr>
              <w:snapToGrid w:val="0"/>
              <w:spacing w:line="360" w:lineRule="auto"/>
              <w:contextualSpacing/>
              <w:jc w:val="left"/>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UPF50+；推荐品牌：天堂</w:t>
            </w:r>
          </w:p>
        </w:tc>
        <w:tc>
          <w:tcPr>
            <w:tcW w:w="1063" w:type="dxa"/>
            <w:vAlign w:val="top"/>
          </w:tcPr>
          <w:p>
            <w:pPr>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500</w:t>
            </w:r>
          </w:p>
        </w:tc>
        <w:tc>
          <w:tcPr>
            <w:tcW w:w="1309" w:type="dxa"/>
            <w:vAlign w:val="top"/>
          </w:tcPr>
          <w:p>
            <w:pPr>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26</w:t>
            </w:r>
          </w:p>
        </w:tc>
        <w:tc>
          <w:tcPr>
            <w:tcW w:w="1283" w:type="dxa"/>
            <w:vMerge w:val="continue"/>
            <w:tcBorders/>
            <w:vAlign w:val="top"/>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3</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运动水杯</w:t>
            </w:r>
          </w:p>
        </w:tc>
        <w:tc>
          <w:tcPr>
            <w:tcW w:w="4378" w:type="dxa"/>
            <w:vAlign w:val="center"/>
          </w:tcPr>
          <w:p>
            <w:pPr>
              <w:snapToGrid w:val="0"/>
              <w:spacing w:line="360" w:lineRule="auto"/>
              <w:contextualSpacing/>
              <w:jc w:val="left"/>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680ml；有盖、有茶隔；推荐品牌：希乐</w:t>
            </w:r>
          </w:p>
        </w:tc>
        <w:tc>
          <w:tcPr>
            <w:tcW w:w="1063" w:type="dxa"/>
            <w:vAlign w:val="top"/>
          </w:tcPr>
          <w:p>
            <w:pPr>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250</w:t>
            </w:r>
          </w:p>
        </w:tc>
        <w:tc>
          <w:tcPr>
            <w:tcW w:w="1309" w:type="dxa"/>
            <w:vAlign w:val="top"/>
          </w:tcPr>
          <w:p>
            <w:pPr>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23</w:t>
            </w:r>
          </w:p>
        </w:tc>
        <w:tc>
          <w:tcPr>
            <w:tcW w:w="1283" w:type="dxa"/>
            <w:vMerge w:val="continue"/>
            <w:tcBorders/>
            <w:vAlign w:val="top"/>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4</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水杯</w:t>
            </w:r>
          </w:p>
        </w:tc>
        <w:tc>
          <w:tcPr>
            <w:tcW w:w="4378" w:type="dxa"/>
            <w:vAlign w:val="center"/>
          </w:tcPr>
          <w:p>
            <w:pPr>
              <w:snapToGrid w:val="0"/>
              <w:spacing w:line="360" w:lineRule="auto"/>
              <w:contextualSpacing/>
              <w:jc w:val="left"/>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500ml；有提环、有盖、有茶隔；推荐品牌：富光</w:t>
            </w:r>
          </w:p>
        </w:tc>
        <w:tc>
          <w:tcPr>
            <w:tcW w:w="1063" w:type="dxa"/>
            <w:vAlign w:val="top"/>
          </w:tcPr>
          <w:p>
            <w:pPr>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200</w:t>
            </w:r>
          </w:p>
        </w:tc>
        <w:tc>
          <w:tcPr>
            <w:tcW w:w="1309" w:type="dxa"/>
            <w:vAlign w:val="top"/>
          </w:tcPr>
          <w:p>
            <w:pPr>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25</w:t>
            </w:r>
          </w:p>
        </w:tc>
        <w:tc>
          <w:tcPr>
            <w:tcW w:w="1283" w:type="dxa"/>
            <w:vMerge w:val="continue"/>
            <w:tcBorders/>
            <w:vAlign w:val="top"/>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5</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水杯</w:t>
            </w:r>
          </w:p>
        </w:tc>
        <w:tc>
          <w:tcPr>
            <w:tcW w:w="4378" w:type="dxa"/>
            <w:vAlign w:val="center"/>
          </w:tcPr>
          <w:p>
            <w:pPr>
              <w:snapToGrid w:val="0"/>
              <w:spacing w:line="360" w:lineRule="auto"/>
              <w:contextualSpacing/>
              <w:jc w:val="left"/>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450ml；有提绳、有盖、有茶隔；推荐品牌：物生物</w:t>
            </w:r>
          </w:p>
        </w:tc>
        <w:tc>
          <w:tcPr>
            <w:tcW w:w="1063" w:type="dxa"/>
            <w:vAlign w:val="top"/>
          </w:tcPr>
          <w:p>
            <w:pPr>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400</w:t>
            </w:r>
          </w:p>
        </w:tc>
        <w:tc>
          <w:tcPr>
            <w:tcW w:w="1309" w:type="dxa"/>
            <w:vAlign w:val="top"/>
          </w:tcPr>
          <w:p>
            <w:pPr>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25</w:t>
            </w:r>
          </w:p>
        </w:tc>
        <w:tc>
          <w:tcPr>
            <w:tcW w:w="1283" w:type="dxa"/>
            <w:vMerge w:val="continue"/>
            <w:tcBorders/>
            <w:vAlign w:val="top"/>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w:t>
            </w:r>
            <w:r>
              <w:rPr>
                <w:rFonts w:hint="eastAsia" w:ascii="方正仿宋_GBK" w:hAnsi="方正仿宋_GBK" w:eastAsia="方正仿宋_GBK" w:cs="方正仿宋_GBK"/>
                <w:sz w:val="24"/>
                <w:szCs w:val="24"/>
                <w:lang w:eastAsia="zh-CN"/>
              </w:rPr>
              <w:t>期间</w:t>
            </w:r>
            <w:r>
              <w:rPr>
                <w:rFonts w:hint="eastAsia" w:ascii="方正仿宋_GBK" w:hAnsi="方正仿宋_GBK" w:eastAsia="方正仿宋_GBK" w:cs="方正仿宋_GBK"/>
                <w:sz w:val="24"/>
                <w:szCs w:val="24"/>
                <w:lang w:val="en-US" w:eastAsia="zh-CN"/>
              </w:rPr>
              <w:t>采购人发出送货通知后5个工作日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送货安装调试</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货款、运输装卸费、税费、保险费、场地清洁费、质保期维护费用、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验收通过后一次性结算</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成交供应商在接到成交通知后20日内与采购人签订合同</w:t>
            </w:r>
            <w:bookmarkEnd w:id="0"/>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u w:val="single"/>
              </w:rPr>
              <w:t>提供所投产品不低于</w:t>
            </w:r>
            <w:r>
              <w:rPr>
                <w:rFonts w:hint="eastAsia" w:ascii="方正仿宋_GBK" w:hAnsi="方正仿宋_GBK" w:eastAsia="方正仿宋_GBK" w:cs="方正仿宋_GBK"/>
                <w:b/>
                <w:bCs/>
                <w:sz w:val="24"/>
                <w:szCs w:val="24"/>
                <w:u w:val="single"/>
                <w:lang w:val="en-US" w:eastAsia="zh-CN"/>
              </w:rPr>
              <w:t>1</w:t>
            </w:r>
            <w:r>
              <w:rPr>
                <w:rFonts w:hint="eastAsia" w:ascii="方正仿宋_GBK" w:hAnsi="方正仿宋_GBK" w:eastAsia="方正仿宋_GBK" w:cs="方正仿宋_GBK"/>
                <w:b/>
                <w:bCs/>
                <w:sz w:val="24"/>
                <w:szCs w:val="24"/>
                <w:u w:val="single"/>
              </w:rPr>
              <w:t>年的免费质保</w:t>
            </w:r>
            <w:r>
              <w:rPr>
                <w:rFonts w:hint="eastAsia" w:ascii="方正仿宋_GBK" w:hAnsi="方正仿宋_GBK" w:eastAsia="方正仿宋_GBK" w:cs="方正仿宋_GBK"/>
                <w:b/>
                <w:bCs/>
                <w:sz w:val="24"/>
                <w:szCs w:val="24"/>
                <w:u w:val="single"/>
                <w:lang w:eastAsia="zh-CN"/>
              </w:rPr>
              <w:t>，</w:t>
            </w:r>
            <w:r>
              <w:rPr>
                <w:rFonts w:hint="eastAsia" w:ascii="方正仿宋_GBK" w:hAnsi="方正仿宋_GBK" w:eastAsia="方正仿宋_GBK" w:cs="方正仿宋_GBK"/>
                <w:b/>
                <w:bCs/>
                <w:sz w:val="24"/>
                <w:szCs w:val="24"/>
                <w:u w:val="single"/>
                <w:lang w:val="en-US" w:eastAsia="zh-CN"/>
              </w:rPr>
              <w:t>非人为损坏免费更换</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产品质保期内有任何质量问题，采购人有权要求供应商整改和退还，如产品变色、脱漆、破损等。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51"/>
              <w:gridCol w:w="1485"/>
              <w:gridCol w:w="1485"/>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2051"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技术参数是否完全响应</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商务要求是否完全响应</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产品品牌及型号</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产品质量保证期（年）</w:t>
                  </w:r>
                </w:p>
              </w:tc>
              <w:tc>
                <w:tcPr>
                  <w:tcW w:w="1486"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730450"/>
      <w:bookmarkStart w:id="3" w:name="_Toc166139912"/>
      <w:bookmarkStart w:id="4" w:name="_Toc156815770"/>
      <w:bookmarkStart w:id="5" w:name="_Toc156196470"/>
      <w:bookmarkStart w:id="6" w:name="_Toc166549448"/>
      <w:bookmarkStart w:id="7" w:name="_Toc173677397"/>
      <w:bookmarkStart w:id="8" w:name="_Toc128229302"/>
      <w:bookmarkStart w:id="9" w:name="_Toc156196559"/>
      <w:bookmarkStart w:id="10" w:name="_Toc128229745"/>
      <w:bookmarkStart w:id="11" w:name="_Toc128229916"/>
      <w:bookmarkStart w:id="12" w:name="_Toc175017342"/>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56815771"/>
      <w:bookmarkStart w:id="14" w:name="_Toc166139913"/>
      <w:bookmarkStart w:id="15" w:name="_Toc175017343"/>
      <w:bookmarkStart w:id="16" w:name="_Toc128229917"/>
      <w:bookmarkStart w:id="17" w:name="_Toc156196471"/>
      <w:bookmarkStart w:id="18" w:name="_Toc166549449"/>
      <w:bookmarkStart w:id="19" w:name="_Toc128229303"/>
      <w:bookmarkStart w:id="20" w:name="_Toc173677398"/>
      <w:bookmarkStart w:id="21" w:name="_Toc128229746"/>
      <w:bookmarkStart w:id="22" w:name="_Toc156196560"/>
      <w:bookmarkStart w:id="23" w:name="_Toc156730451"/>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73677399"/>
      <w:bookmarkStart w:id="25" w:name="_Toc128014297"/>
      <w:bookmarkStart w:id="26" w:name="_Toc156196472"/>
      <w:bookmarkStart w:id="27" w:name="_Toc128229747"/>
      <w:bookmarkStart w:id="28" w:name="_Toc175017344"/>
      <w:bookmarkStart w:id="29" w:name="_Toc237057793"/>
      <w:bookmarkStart w:id="30" w:name="_Toc128229304"/>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FB539B"/>
    <w:rsid w:val="0C872834"/>
    <w:rsid w:val="0CE64C8D"/>
    <w:rsid w:val="0FD01451"/>
    <w:rsid w:val="122D0B62"/>
    <w:rsid w:val="1922346A"/>
    <w:rsid w:val="1AF86BE0"/>
    <w:rsid w:val="1BDE0896"/>
    <w:rsid w:val="1CF00EFC"/>
    <w:rsid w:val="21426D4A"/>
    <w:rsid w:val="236757CC"/>
    <w:rsid w:val="2C3529EE"/>
    <w:rsid w:val="2FC44243"/>
    <w:rsid w:val="31092EA8"/>
    <w:rsid w:val="33FB61AD"/>
    <w:rsid w:val="342C6BC9"/>
    <w:rsid w:val="376E6279"/>
    <w:rsid w:val="38A14340"/>
    <w:rsid w:val="3D8263F7"/>
    <w:rsid w:val="44C5770F"/>
    <w:rsid w:val="44EF71C4"/>
    <w:rsid w:val="482D6FF9"/>
    <w:rsid w:val="496140CE"/>
    <w:rsid w:val="4AE139DB"/>
    <w:rsid w:val="4BDB0A24"/>
    <w:rsid w:val="4C31315D"/>
    <w:rsid w:val="4F6D75ED"/>
    <w:rsid w:val="53A17F68"/>
    <w:rsid w:val="5E932E93"/>
    <w:rsid w:val="5FA4498B"/>
    <w:rsid w:val="61130716"/>
    <w:rsid w:val="61143219"/>
    <w:rsid w:val="61707CCC"/>
    <w:rsid w:val="626B6216"/>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14</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2024-05-24T02:42:56Z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