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项目名称：环保网络专线服务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项目编号：BSRMYY-YNCG-2024-05008</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9.</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10.密封档案袋格式要求。</w:t>
      </w:r>
      <w:bookmarkStart w:id="31" w:name="_GoBack"/>
      <w:bookmarkEnd w:id="31"/>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1"/>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4378"/>
        <w:gridCol w:w="1063"/>
        <w:gridCol w:w="1309"/>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9"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9"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4378"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63"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eastAsia="zh-CN"/>
              </w:rPr>
              <w:t>数量（张）</w:t>
            </w:r>
          </w:p>
        </w:tc>
        <w:tc>
          <w:tcPr>
            <w:tcW w:w="1309"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c>
          <w:tcPr>
            <w:tcW w:w="1284" w:type="dxa"/>
            <w:vAlign w:val="center"/>
          </w:tcPr>
          <w:p>
            <w:pPr>
              <w:widowControl/>
              <w:spacing w:line="360" w:lineRule="auto"/>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合计限价（元）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6"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p>
            <w:pPr>
              <w:widowControl/>
              <w:spacing w:line="360" w:lineRule="auto"/>
              <w:jc w:val="center"/>
              <w:rPr>
                <w:rFonts w:hint="default" w:ascii="方正仿宋_GBK" w:hAnsi="方正仿宋_GBK" w:eastAsia="方正仿宋_GBK" w:cs="方正仿宋_GBK"/>
                <w:b/>
                <w:kern w:val="0"/>
                <w:sz w:val="24"/>
                <w:szCs w:val="24"/>
                <w:lang w:val="en-US" w:eastAsia="zh-CN"/>
              </w:rPr>
            </w:pPr>
          </w:p>
        </w:tc>
        <w:tc>
          <w:tcPr>
            <w:tcW w:w="18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Times New Roman" w:hAnsi="Times New Roman" w:eastAsia="仿宋" w:cs="Times New Roman"/>
                <w:b/>
                <w:kern w:val="0"/>
                <w:sz w:val="24"/>
                <w:szCs w:val="24"/>
                <w:lang w:val="en-US" w:eastAsia="zh-CN" w:bidi="ar-SA"/>
              </w:rPr>
            </w:pPr>
            <w:r>
              <w:rPr>
                <w:rFonts w:hint="eastAsia" w:asciiTheme="minorEastAsia" w:hAnsiTheme="minorEastAsia" w:eastAsiaTheme="minorEastAsia" w:cstheme="minorBidi"/>
                <w:b w:val="0"/>
                <w:kern w:val="2"/>
                <w:sz w:val="28"/>
                <w:szCs w:val="28"/>
                <w:lang w:val="en-US" w:eastAsia="zh-CN" w:bidi="ar-SA"/>
              </w:rPr>
              <w:t>环保网络专线服务</w:t>
            </w:r>
          </w:p>
        </w:tc>
        <w:tc>
          <w:tcPr>
            <w:tcW w:w="4378" w:type="dxa"/>
            <w:vAlign w:val="center"/>
          </w:tcPr>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1.提供专线带宽≥2Mbps；</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2.支持RIPv1/2、OSPF、IS-IS、 BGP等路由协议；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3.提供链路接口支持100M光/电、1000M光口等灵活接口类型；</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4.所提供的出口物理光路总衰减不超过20db；</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5.第三方软件实测速率≥接口理论速率*90%；上行速率≥下行速率*99%；</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6.所提供的数据链路带宽为独占带宽；</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7.支持物理直连、二层透传、三层隧道；</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8.支持CPE与PE之间采用静态路由或动态路由协议。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9、如遇线路需要割接调整会导致断网的情况需提前2天来函告知我院信息科。</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线路故障，供应商接到我院信息管理科报修电话后30分钟内响应，根据医院信息管理科判断需到现场处理的，在接到我院信息管理科需现场处理的电话告知后必须30分钟内到现场。如未按时响应或按时到场每次扣年合同金额的5%。</w:t>
            </w:r>
          </w:p>
          <w:p>
            <w:pPr>
              <w:spacing w:line="500" w:lineRule="exact"/>
              <w:ind w:firstLine="480" w:firstLineChars="200"/>
              <w:rPr>
                <w:rFonts w:hint="eastAsia" w:ascii="Times New Roman" w:hAnsi="Times New Roman" w:eastAsia="仿宋" w:cs="Times New Roman"/>
                <w:b/>
                <w:kern w:val="0"/>
                <w:sz w:val="24"/>
                <w:szCs w:val="24"/>
                <w:lang w:val="en-US" w:eastAsia="zh-CN" w:bidi="ar-SA"/>
              </w:rPr>
            </w:pPr>
            <w:r>
              <w:rPr>
                <w:rFonts w:hint="eastAsia" w:ascii="方正仿宋_GBK" w:hAnsi="方正仿宋_GBK" w:eastAsia="方正仿宋_GBK" w:cs="方正仿宋_GBK"/>
                <w:sz w:val="24"/>
                <w:szCs w:val="24"/>
              </w:rPr>
              <w:t>11、线路故障每年不允许超过3次，每次不能超过1小时，（提前2天通知线路割接除外）。</w:t>
            </w:r>
          </w:p>
        </w:tc>
        <w:tc>
          <w:tcPr>
            <w:tcW w:w="1063" w:type="dxa"/>
            <w:vAlign w:val="center"/>
          </w:tcPr>
          <w:p>
            <w:pPr>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3年</w:t>
            </w:r>
          </w:p>
        </w:tc>
        <w:tc>
          <w:tcPr>
            <w:tcW w:w="1309" w:type="dxa"/>
            <w:vAlign w:val="center"/>
          </w:tcPr>
          <w:p>
            <w:pPr>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3600</w:t>
            </w:r>
          </w:p>
        </w:tc>
        <w:tc>
          <w:tcPr>
            <w:tcW w:w="1284" w:type="dxa"/>
            <w:vAlign w:val="center"/>
          </w:tcPr>
          <w:p>
            <w:pPr>
              <w:jc w:val="center"/>
              <w:rPr>
                <w:rFonts w:hint="default" w:eastAsiaTheme="minorEastAsia"/>
                <w:sz w:val="32"/>
                <w:szCs w:val="32"/>
                <w:lang w:val="en-US" w:eastAsia="zh-CN"/>
              </w:rPr>
            </w:pPr>
            <w:r>
              <w:rPr>
                <w:rFonts w:hint="eastAsia" w:ascii="Times New Roman" w:hAnsi="Times New Roman" w:eastAsia="仿宋" w:cs="Times New Roman"/>
                <w:b/>
                <w:kern w:val="0"/>
                <w:sz w:val="24"/>
                <w:szCs w:val="24"/>
                <w:lang w:val="en-US" w:eastAsia="zh-CN" w:bidi="ar-SA"/>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9"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交货</w:t>
            </w:r>
            <w:r>
              <w:rPr>
                <w:rFonts w:hint="eastAsia" w:ascii="方正仿宋_GBK" w:hAnsi="方正仿宋_GBK" w:eastAsia="方正仿宋_GBK" w:cs="方正仿宋_GBK"/>
                <w:sz w:val="24"/>
                <w:szCs w:val="24"/>
              </w:rPr>
              <w:t>期限：合同</w:t>
            </w:r>
            <w:r>
              <w:rPr>
                <w:rFonts w:hint="eastAsia" w:ascii="方正仿宋_GBK" w:hAnsi="方正仿宋_GBK" w:eastAsia="方正仿宋_GBK" w:cs="方正仿宋_GBK"/>
                <w:sz w:val="24"/>
                <w:szCs w:val="24"/>
                <w:lang w:eastAsia="zh-CN"/>
              </w:rPr>
              <w:t>期间</w:t>
            </w:r>
            <w:r>
              <w:rPr>
                <w:rFonts w:hint="eastAsia" w:ascii="方正仿宋_GBK" w:hAnsi="方正仿宋_GBK" w:eastAsia="方正仿宋_GBK" w:cs="方正仿宋_GBK"/>
                <w:sz w:val="24"/>
                <w:szCs w:val="24"/>
                <w:lang w:val="en-US" w:eastAsia="zh-CN"/>
              </w:rPr>
              <w:t>采购人发出送货通知后5个工作日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送货安装调试</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default"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3.服务期限：3年</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4.报价要求：本次报价为人民币包干价，包含：服务费、安装辅材费、人工费、税费、保险费、场地清洁费、质保期维护费用、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服务满12个月后验收合格支付当年费用</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服务</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成交供应商在接到成交通知后20日内与采购人签订合同</w:t>
            </w:r>
            <w:bookmarkEnd w:id="0"/>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每年服务期满后验收一次，验收服务内容是否符合参数要求，</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r>
              <w:rPr>
                <w:rFonts w:hint="eastAsia" w:ascii="方正仿宋_GBK" w:hAnsi="方正仿宋_GBK" w:eastAsia="方正仿宋_GBK" w:cs="方正仿宋_GBK"/>
                <w:sz w:val="24"/>
                <w:szCs w:val="24"/>
                <w:lang w:val="en-US" w:eastAsia="zh-CN"/>
              </w:rPr>
              <w:t>服务期内有任何问题，按照采购人的要求进行整改。</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线路故障</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供应商接到我院信息管理科报修电话后30分钟内响应，根据医院信息管理科判断需到现场处理的，在接到我院信息管理科需现场处理的电话告知后必须30分钟内到现场。如未按时响应或按时到场每次扣年合同金额的5%。</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技术升级</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因产品质量问题导致的损害由供应商承担全部责任；</w:t>
            </w:r>
            <w:r>
              <w:rPr>
                <w:rFonts w:hint="eastAsia" w:ascii="方正仿宋_GBK" w:hAnsi="方正仿宋_GBK" w:eastAsia="方正仿宋_GBK" w:cs="方正仿宋_GBK"/>
                <w:sz w:val="24"/>
                <w:szCs w:val="24"/>
              </w:rPr>
              <w:t>线路故障供应商接到我院信息管理科报修电话后30分钟内响应，根据医院信息管理科判断需到现场处理的，在接到我院信息管理科需现场处理的电话告知后必须30分钟内到现场。如未按时响应或按时到场每次扣年合同金额的5%。线路故障每年不允许超过3次，每次不能超过1小时，每超过1次或每次超过1小时支付1000元/次或300元/小时的违约金，全年超过6次或20小时采购人有权解除合同（提前2天通知线路割接除外）。合同执行期间发生的争议协商无果的，向重庆市璧山区人民法院提起诉讼。</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9"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9"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2"/>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51"/>
              <w:gridCol w:w="1485"/>
              <w:gridCol w:w="2971"/>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2051"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技术参数是否完全响应</w:t>
                  </w:r>
                </w:p>
              </w:tc>
              <w:tc>
                <w:tcPr>
                  <w:tcW w:w="2971"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商务要求是否完全响应</w:t>
                  </w:r>
                </w:p>
              </w:tc>
              <w:tc>
                <w:tcPr>
                  <w:tcW w:w="29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297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2972"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9"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196559"/>
      <w:bookmarkStart w:id="3" w:name="_Toc156815770"/>
      <w:bookmarkStart w:id="4" w:name="_Toc156196470"/>
      <w:bookmarkStart w:id="5" w:name="_Toc156730450"/>
      <w:bookmarkStart w:id="6" w:name="_Toc166549448"/>
      <w:bookmarkStart w:id="7" w:name="_Toc128229302"/>
      <w:bookmarkStart w:id="8" w:name="_Toc173677397"/>
      <w:bookmarkStart w:id="9" w:name="_Toc175017342"/>
      <w:bookmarkStart w:id="10" w:name="_Toc166139912"/>
      <w:bookmarkStart w:id="11" w:name="_Toc128229745"/>
      <w:bookmarkStart w:id="12" w:name="_Toc128229916"/>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73677398"/>
      <w:bookmarkStart w:id="14" w:name="_Toc128229303"/>
      <w:bookmarkStart w:id="15" w:name="_Toc128229746"/>
      <w:bookmarkStart w:id="16" w:name="_Toc128229917"/>
      <w:bookmarkStart w:id="17" w:name="_Toc156815771"/>
      <w:bookmarkStart w:id="18" w:name="_Toc166139913"/>
      <w:bookmarkStart w:id="19" w:name="_Toc156196560"/>
      <w:bookmarkStart w:id="20" w:name="_Toc175017343"/>
      <w:bookmarkStart w:id="21" w:name="_Toc166549449"/>
      <w:bookmarkStart w:id="22" w:name="_Toc156730451"/>
      <w:bookmarkStart w:id="23" w:name="_Toc156196471"/>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73677399"/>
      <w:bookmarkStart w:id="25" w:name="_Toc128014297"/>
      <w:bookmarkStart w:id="26" w:name="_Toc156196472"/>
      <w:bookmarkStart w:id="27" w:name="_Toc128229747"/>
      <w:bookmarkStart w:id="28" w:name="_Toc128229304"/>
      <w:bookmarkStart w:id="29" w:name="_Toc175017344"/>
      <w:bookmarkStart w:id="30" w:name="_Toc237057793"/>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FB539B"/>
    <w:rsid w:val="0C872834"/>
    <w:rsid w:val="0CE64C8D"/>
    <w:rsid w:val="0FD01451"/>
    <w:rsid w:val="122D0B62"/>
    <w:rsid w:val="1922346A"/>
    <w:rsid w:val="1AF86BE0"/>
    <w:rsid w:val="1BDE0896"/>
    <w:rsid w:val="1CF00EFC"/>
    <w:rsid w:val="1E9255DC"/>
    <w:rsid w:val="21426D4A"/>
    <w:rsid w:val="236757CC"/>
    <w:rsid w:val="2C3529EE"/>
    <w:rsid w:val="2E825C96"/>
    <w:rsid w:val="2FC44243"/>
    <w:rsid w:val="31092EA8"/>
    <w:rsid w:val="33FB61AD"/>
    <w:rsid w:val="342C6BC9"/>
    <w:rsid w:val="376E6279"/>
    <w:rsid w:val="38A14340"/>
    <w:rsid w:val="3D8263F7"/>
    <w:rsid w:val="44C5770F"/>
    <w:rsid w:val="44EF71C4"/>
    <w:rsid w:val="482D6FF9"/>
    <w:rsid w:val="496140CE"/>
    <w:rsid w:val="4AE139DB"/>
    <w:rsid w:val="4BDB0A24"/>
    <w:rsid w:val="4C31315D"/>
    <w:rsid w:val="4F6D75ED"/>
    <w:rsid w:val="53A17F68"/>
    <w:rsid w:val="5E932E93"/>
    <w:rsid w:val="5FA4498B"/>
    <w:rsid w:val="61130716"/>
    <w:rsid w:val="61143219"/>
    <w:rsid w:val="61707CCC"/>
    <w:rsid w:val="626B6216"/>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0"/>
    <w:qFormat/>
    <w:uiPriority w:val="0"/>
    <w:pPr>
      <w:spacing w:line="360" w:lineRule="auto"/>
      <w:ind w:firstLine="420"/>
    </w:pPr>
    <w:rPr>
      <w:rFonts w:ascii="宋体" w:hAnsi="宋体"/>
      <w:sz w:val="24"/>
    </w:rPr>
  </w:style>
  <w:style w:type="paragraph" w:styleId="10">
    <w:name w:val="Body Text First Indent 2"/>
    <w:basedOn w:val="5"/>
    <w:qFormat/>
    <w:uiPriority w:val="0"/>
    <w:pPr>
      <w:spacing w:after="120" w:afterLines="0" w:line="240" w:lineRule="auto"/>
      <w:ind w:left="420" w:leftChars="200"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3"/>
    <w:qFormat/>
    <w:uiPriority w:val="0"/>
    <w:rPr>
      <w:rFonts w:ascii="楷体" w:hAnsi="楷体" w:eastAsia="楷体" w:cs="楷体"/>
      <w:color w:val="000000"/>
      <w:sz w:val="22"/>
      <w:szCs w:val="22"/>
      <w:u w:val="none"/>
      <w:vertAlign w:val="superscript"/>
    </w:rPr>
  </w:style>
  <w:style w:type="character" w:customStyle="1" w:styleId="19">
    <w:name w:val="font21"/>
    <w:basedOn w:val="13"/>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2024-05-24T04:56:59Z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