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项目名称：生物信息学数据挖掘技术服务</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项目编号：BSRMYY-YNCG-2024-06009</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7.投标产品介绍（能查看到产品参数）</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8.</w:t>
      </w:r>
      <w:r>
        <w:rPr>
          <w:rFonts w:hint="eastAsia" w:ascii="仿宋_GB2312" w:hAnsi="宋体" w:eastAsia="仿宋_GB2312" w:cs="宋体"/>
          <w:color w:val="auto"/>
          <w:sz w:val="32"/>
          <w:szCs w:val="32"/>
          <w:lang w:val="en-US" w:eastAsia="zh-CN"/>
        </w:rPr>
        <w:t>投标廉政承诺。</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1.公司营业执照（须圈出符合资质要求的经营范围和有效期）具备开展相关技术服务的资质和条件</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5"/>
        <w:jc w:val="center"/>
        <w:rPr>
          <w:rFonts w:hint="default"/>
          <w:lang w:val="en-US" w:eastAsia="zh-CN"/>
        </w:rPr>
      </w:pPr>
      <w:r>
        <w:rPr>
          <w:rFonts w:hint="eastAsia" w:ascii="仿宋" w:hAnsi="仿宋" w:eastAsia="仿宋" w:cs="仿宋"/>
          <w:b/>
          <w:bCs/>
          <w:color w:val="auto"/>
          <w:sz w:val="36"/>
          <w:szCs w:val="24"/>
          <w:lang w:val="en-US" w:eastAsia="zh-CN"/>
        </w:rPr>
        <w:t>服务报价表</w:t>
      </w:r>
    </w:p>
    <w:p>
      <w:pPr>
        <w:pStyle w:val="15"/>
        <w:rPr>
          <w:rFonts w:hint="eastAsia"/>
          <w:lang w:val="en-US" w:eastAsia="zh-CN"/>
        </w:rPr>
      </w:pPr>
    </w:p>
    <w:tbl>
      <w:tblPr>
        <w:tblStyle w:val="11"/>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23"/>
        <w:gridCol w:w="5040"/>
        <w:gridCol w:w="1066"/>
        <w:gridCol w:w="1009"/>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项目</w:t>
            </w:r>
            <w:r>
              <w:rPr>
                <w:rFonts w:hint="default" w:ascii="Times New Roman" w:hAnsi="Times New Roman" w:eastAsia="仿宋" w:cs="Times New Roman"/>
                <w:b/>
                <w:kern w:val="0"/>
                <w:sz w:val="24"/>
                <w:szCs w:val="24"/>
              </w:rPr>
              <w:t>名称</w:t>
            </w:r>
          </w:p>
        </w:tc>
        <w:tc>
          <w:tcPr>
            <w:tcW w:w="5040" w:type="dxa"/>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服务要求</w:t>
            </w:r>
            <w:r>
              <w:rPr>
                <w:rFonts w:hint="eastAsia" w:ascii="Times New Roman" w:hAnsi="Times New Roman" w:eastAsia="仿宋" w:cs="Times New Roman"/>
                <w:b/>
                <w:bCs w:val="0"/>
                <w:kern w:val="0"/>
                <w:sz w:val="24"/>
                <w:szCs w:val="24"/>
                <w:lang w:val="en-US" w:eastAsia="zh-CN"/>
              </w:rPr>
              <w:t>（须完全响应）</w:t>
            </w:r>
          </w:p>
        </w:tc>
        <w:tc>
          <w:tcPr>
            <w:tcW w:w="1066" w:type="dxa"/>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服务期限</w:t>
            </w:r>
          </w:p>
        </w:tc>
        <w:tc>
          <w:tcPr>
            <w:tcW w:w="1009" w:type="dxa"/>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最高限价</w:t>
            </w:r>
          </w:p>
        </w:tc>
        <w:tc>
          <w:tcPr>
            <w:tcW w:w="1575" w:type="dxa"/>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
                <w:kern w:val="0"/>
                <w:sz w:val="24"/>
                <w:szCs w:val="24"/>
                <w:lang w:val="en-US" w:eastAsia="zh-CN"/>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1</w:t>
            </w:r>
          </w:p>
        </w:tc>
        <w:tc>
          <w:tcPr>
            <w:tcW w:w="1323" w:type="dxa"/>
            <w:tcBorders>
              <w:top w:val="single" w:color="auto" w:sz="4" w:space="0"/>
              <w:left w:val="single" w:color="auto" w:sz="4" w:space="0"/>
              <w:bottom w:val="single" w:color="auto" w:sz="4" w:space="0"/>
              <w:right w:val="single" w:color="auto" w:sz="4" w:space="0"/>
            </w:tcBorders>
            <w:vAlign w:val="center"/>
          </w:tcPr>
          <w:p>
            <w:pPr>
              <w:pStyle w:val="2"/>
              <w:rPr>
                <w:rFonts w:hint="default" w:ascii="宋体" w:hAnsi="宋体" w:eastAsia="宋体" w:cs="宋体"/>
                <w:b w:val="0"/>
                <w:color w:val="000000"/>
                <w:kern w:val="0"/>
                <w:sz w:val="22"/>
                <w:szCs w:val="22"/>
                <w:lang w:val="en-US" w:eastAsia="zh-CN" w:bidi="ar"/>
              </w:rPr>
            </w:pPr>
            <w:r>
              <w:rPr>
                <w:rFonts w:hint="eastAsia" w:ascii="微软雅黑" w:hAnsi="微软雅黑" w:eastAsia="微软雅黑" w:cs="微软雅黑"/>
                <w:i w:val="0"/>
                <w:caps w:val="0"/>
                <w:color w:val="555555"/>
                <w:spacing w:val="0"/>
                <w:sz w:val="21"/>
                <w:szCs w:val="21"/>
                <w:lang w:val="en-US" w:eastAsia="zh-CN"/>
              </w:rPr>
              <w:t>生物信息学数据挖掘技术服务</w:t>
            </w:r>
          </w:p>
        </w:tc>
        <w:tc>
          <w:tcPr>
            <w:tcW w:w="5040" w:type="dxa"/>
            <w:vAlign w:val="center"/>
          </w:tcPr>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公共数据库样本下载、测序数据统计、清洗与整体质控</w:t>
            </w:r>
          </w:p>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单样本分析、质控</w:t>
            </w:r>
          </w:p>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所有样本分析、质控</w:t>
            </w:r>
          </w:p>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细胞基因数、UMI数、线粒体基因表达过滤</w:t>
            </w:r>
          </w:p>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样本/Cluster细胞构成比例分析</w:t>
            </w:r>
          </w:p>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Marker基因（上调基因）筛选</w:t>
            </w:r>
          </w:p>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整体Marker基因热图</w:t>
            </w:r>
          </w:p>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细胞聚类Top10 Marker基因小提琴图</w:t>
            </w:r>
          </w:p>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细胞聚类Top10 Marker基因Feature plot图</w:t>
            </w:r>
          </w:p>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细胞聚类Top10 Marker基因气泡图</w:t>
            </w:r>
          </w:p>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细胞聚类Top10 Marker基因Ridge图</w:t>
            </w:r>
          </w:p>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Cluster间上调基因GO富集</w:t>
            </w:r>
          </w:p>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Cluster间上调基因KEGG富集</w:t>
            </w:r>
          </w:p>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不同Cluster间差异基因火山图</w:t>
            </w:r>
          </w:p>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不同Cluster间基因表达MA图</w:t>
            </w:r>
          </w:p>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相同细胞Cluster样本间基因表达差异分析</w:t>
            </w:r>
          </w:p>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相同细胞Cluster样本间基因表达GO富集</w:t>
            </w:r>
          </w:p>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相同细胞Cluster样本间基因表达KEGG富集</w:t>
            </w:r>
          </w:p>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相同细胞Cluster样本间差异基因火山图</w:t>
            </w:r>
          </w:p>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相同细胞Cluster样本间基因表达MA图</w:t>
            </w:r>
          </w:p>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细胞群体sub-cluster聚类</w:t>
            </w:r>
          </w:p>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sub-Cluster Top10 Marker基因小提琴图</w:t>
            </w:r>
          </w:p>
          <w:p>
            <w:pPr>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sub-Cluster Top10 Marker基因Feature plot图</w:t>
            </w:r>
          </w:p>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sub-Cluster Top10 Marker基因气泡图</w:t>
            </w:r>
          </w:p>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sub-Cluster Top10 Marker基因Ridge图</w:t>
            </w:r>
          </w:p>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sub-Cluster间上调基因GO富集</w:t>
            </w:r>
          </w:p>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sub-Cluster间上调基因KEGG富集</w:t>
            </w:r>
          </w:p>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Heatmap图</w:t>
            </w:r>
          </w:p>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Column graph图</w:t>
            </w:r>
          </w:p>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RidgePlot 图</w:t>
            </w:r>
          </w:p>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Dot plot图</w:t>
            </w:r>
          </w:p>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Feature_plot图</w:t>
            </w:r>
          </w:p>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violin图</w:t>
            </w:r>
          </w:p>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气泡图</w:t>
            </w:r>
          </w:p>
          <w:p>
            <w:pPr>
              <w:jc w:val="left"/>
              <w:rPr>
                <w:rFonts w:hint="eastAsia" w:ascii="宋体" w:hAnsi="宋体" w:eastAsia="宋体" w:cs="宋体"/>
                <w:b w:val="0"/>
                <w:bCs/>
                <w:color w:val="000000"/>
                <w:sz w:val="24"/>
                <w:szCs w:val="24"/>
                <w:u w:val="none"/>
                <w:lang w:val="en-US" w:eastAsia="zh-CN"/>
              </w:rPr>
            </w:pPr>
            <w:r>
              <w:rPr>
                <w:rFonts w:hint="eastAsia" w:ascii="宋体" w:hAnsi="宋体" w:eastAsia="宋体" w:cs="宋体"/>
                <w:b w:val="0"/>
                <w:bCs/>
                <w:color w:val="000000"/>
                <w:sz w:val="24"/>
                <w:szCs w:val="24"/>
                <w:u w:val="none"/>
                <w:lang w:val="en-US" w:eastAsia="zh-CN"/>
              </w:rPr>
              <w:t>与Bulk RNA-seq相关性分析</w:t>
            </w:r>
          </w:p>
          <w:p>
            <w:pPr>
              <w:numPr>
                <w:ilvl w:val="0"/>
                <w:numId w:val="0"/>
              </w:numPr>
              <w:spacing w:line="360" w:lineRule="auto"/>
              <w:rPr>
                <w:rFonts w:hint="default" w:ascii="宋体" w:hAnsi="宋体" w:eastAsia="宋体" w:cs="宋体"/>
                <w:b w:val="0"/>
                <w:color w:val="000000"/>
                <w:kern w:val="0"/>
                <w:sz w:val="22"/>
                <w:szCs w:val="22"/>
                <w:lang w:val="en-US" w:eastAsia="zh-CN" w:bidi="ar"/>
              </w:rPr>
            </w:pPr>
            <w:r>
              <w:rPr>
                <w:rFonts w:hint="eastAsia" w:ascii="宋体" w:hAnsi="宋体" w:eastAsia="宋体" w:cs="宋体"/>
                <w:b w:val="0"/>
                <w:bCs/>
                <w:sz w:val="24"/>
                <w:szCs w:val="24"/>
                <w:u w:val="none"/>
                <w:lang w:val="en-US" w:eastAsia="zh-CN"/>
              </w:rPr>
              <w:t>以上技术服务要求为必须满足项，否则作无效磋商响应处理。</w:t>
            </w:r>
          </w:p>
        </w:tc>
        <w:tc>
          <w:tcPr>
            <w:tcW w:w="1066" w:type="dxa"/>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1项</w:t>
            </w:r>
          </w:p>
        </w:tc>
        <w:tc>
          <w:tcPr>
            <w:tcW w:w="1009" w:type="dxa"/>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2万元</w:t>
            </w:r>
          </w:p>
        </w:tc>
        <w:tc>
          <w:tcPr>
            <w:tcW w:w="1575" w:type="dxa"/>
            <w:vAlign w:val="center"/>
          </w:tcPr>
          <w:p>
            <w:pPr>
              <w:widowControl/>
              <w:spacing w:line="360" w:lineRule="auto"/>
              <w:jc w:val="center"/>
              <w:rPr>
                <w:rFonts w:hint="default" w:ascii="Times New Roman" w:hAnsi="Times New Roman" w:eastAsia="仿宋"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6"/>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商务部分：</w:t>
            </w:r>
            <w:r>
              <w:rPr>
                <w:rFonts w:hint="eastAsia" w:ascii="方正仿宋_GBK" w:hAnsi="方正仿宋_GBK" w:eastAsia="方正仿宋_GBK" w:cs="方正仿宋_GBK"/>
                <w:b/>
                <w:bCs/>
                <w:sz w:val="28"/>
                <w:szCs w:val="36"/>
                <w:lang w:val="en-US" w:eastAsia="zh-CN"/>
              </w:rPr>
              <w:t>（须完全响应）</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（一）时间地点</w:t>
            </w:r>
            <w:r>
              <w:rPr>
                <w:rFonts w:hint="eastAsia" w:ascii="宋体" w:hAnsi="宋体" w:eastAsia="宋体" w:cs="宋体"/>
                <w:color w:val="auto"/>
                <w:kern w:val="0"/>
                <w:sz w:val="24"/>
                <w:szCs w:val="24"/>
                <w:lang w:val="en-US" w:eastAsia="zh-CN"/>
              </w:rPr>
              <w:t>及报价</w:t>
            </w:r>
            <w:r>
              <w:rPr>
                <w:rFonts w:hint="eastAsia" w:ascii="宋体" w:hAnsi="宋体" w:eastAsia="宋体" w:cs="宋体"/>
                <w:color w:val="auto"/>
                <w:kern w:val="0"/>
                <w:sz w:val="24"/>
                <w:szCs w:val="24"/>
                <w:lang w:eastAsia="zh-CN"/>
              </w:rPr>
              <w:t>要求</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1.交付期限：合同签订后</w:t>
            </w:r>
            <w:r>
              <w:rPr>
                <w:rFonts w:hint="eastAsia" w:ascii="宋体" w:hAnsi="宋体" w:eastAsia="宋体" w:cs="宋体"/>
                <w:color w:val="auto"/>
                <w:kern w:val="0"/>
                <w:sz w:val="24"/>
                <w:szCs w:val="24"/>
                <w:lang w:val="en-US" w:eastAsia="zh-CN"/>
              </w:rPr>
              <w:t>5年</w:t>
            </w:r>
            <w:r>
              <w:rPr>
                <w:rFonts w:hint="eastAsia" w:ascii="宋体" w:hAnsi="宋体" w:eastAsia="宋体" w:cs="宋体"/>
                <w:color w:val="auto"/>
                <w:kern w:val="0"/>
                <w:sz w:val="24"/>
                <w:szCs w:val="24"/>
                <w:lang w:eastAsia="zh-CN"/>
              </w:rPr>
              <w:t>内</w:t>
            </w:r>
            <w:r>
              <w:rPr>
                <w:rFonts w:hint="eastAsia" w:ascii="宋体" w:hAnsi="宋体" w:eastAsia="宋体" w:cs="宋体"/>
                <w:color w:val="auto"/>
                <w:kern w:val="0"/>
                <w:sz w:val="24"/>
                <w:szCs w:val="24"/>
                <w:lang w:val="en-US" w:eastAsia="zh-CN"/>
              </w:rPr>
              <w:t>完成本项目</w:t>
            </w:r>
            <w:r>
              <w:rPr>
                <w:rFonts w:hint="eastAsia" w:ascii="宋体" w:hAnsi="宋体" w:eastAsia="宋体" w:cs="宋体"/>
                <w:color w:val="auto"/>
                <w:kern w:val="0"/>
                <w:sz w:val="24"/>
                <w:szCs w:val="24"/>
                <w:lang w:eastAsia="zh-CN"/>
              </w:rPr>
              <w:t>。</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w:t>
            </w:r>
            <w:r>
              <w:rPr>
                <w:rFonts w:hint="eastAsia" w:ascii="宋体" w:hAnsi="宋体" w:eastAsia="宋体" w:cs="宋体"/>
                <w:color w:val="auto"/>
                <w:kern w:val="0"/>
                <w:sz w:val="24"/>
                <w:szCs w:val="24"/>
                <w:lang w:val="en-US" w:eastAsia="zh-CN"/>
              </w:rPr>
              <w:t>服务</w:t>
            </w:r>
            <w:r>
              <w:rPr>
                <w:rFonts w:hint="eastAsia" w:ascii="宋体" w:hAnsi="宋体" w:eastAsia="宋体" w:cs="宋体"/>
                <w:color w:val="auto"/>
                <w:kern w:val="0"/>
                <w:sz w:val="24"/>
                <w:szCs w:val="24"/>
                <w:lang w:eastAsia="zh-CN"/>
              </w:rPr>
              <w:t>地点：重庆市璧山区人民医院</w:t>
            </w:r>
            <w:r>
              <w:rPr>
                <w:rFonts w:hint="eastAsia" w:ascii="宋体" w:hAnsi="宋体" w:eastAsia="宋体" w:cs="宋体"/>
                <w:color w:val="auto"/>
                <w:kern w:val="0"/>
                <w:sz w:val="24"/>
                <w:szCs w:val="24"/>
                <w:lang w:val="en-US" w:eastAsia="zh-CN"/>
              </w:rPr>
              <w:t>指</w:t>
            </w:r>
            <w:r>
              <w:rPr>
                <w:rFonts w:hint="eastAsia" w:ascii="宋体" w:hAnsi="宋体" w:eastAsia="宋体" w:cs="宋体"/>
                <w:color w:val="auto"/>
                <w:kern w:val="0"/>
                <w:sz w:val="24"/>
                <w:szCs w:val="24"/>
                <w:lang w:eastAsia="zh-CN"/>
              </w:rPr>
              <w:t>定地点。</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3.报价要求：本次报价为人民币包干价，包含：人工费、实验检测费、资料装订及邮寄费、标本运输费、生物安全管理费、税费、数据保密费、保险费、验收检测费等完成本项目所需的一切费用。因成交供应商自身原因造成漏报、少报皆由其自行承担责任，采购人不再补偿。服务期间发生的安全责任事故由供应商自行承担。</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（二）付款方式</w:t>
            </w:r>
          </w:p>
          <w:p>
            <w:pPr>
              <w:snapToGrid w:val="0"/>
              <w:spacing w:line="360" w:lineRule="auto"/>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bookmarkStart w:id="0" w:name="_Toc267320052"/>
            <w:r>
              <w:rPr>
                <w:rFonts w:hint="eastAsia" w:ascii="宋体" w:hAnsi="宋体" w:eastAsia="宋体" w:cs="宋体"/>
                <w:color w:val="000000" w:themeColor="text1"/>
                <w:kern w:val="0"/>
                <w:sz w:val="24"/>
                <w:szCs w:val="24"/>
                <w:lang w:val="en-US" w:eastAsia="zh-CN"/>
                <w14:textFill>
                  <w14:solidFill>
                    <w14:schemeClr w14:val="tx1"/>
                  </w14:solidFill>
                </w14:textFill>
              </w:rPr>
              <w:t>合同签订后</w:t>
            </w:r>
            <w:bookmarkStart w:id="1" w:name="_Toc12794"/>
            <w:bookmarkStart w:id="2" w:name="_Toc24569668"/>
            <w:bookmarkStart w:id="3" w:name="_Toc520204758"/>
            <w:bookmarkStart w:id="4" w:name="_Toc31427"/>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供应商开具相应金额的发票，采购人在10日内支付</w:t>
            </w:r>
            <w:r>
              <w:rPr>
                <w:rFonts w:hint="eastAsia" w:ascii="宋体" w:hAnsi="宋体" w:eastAsia="宋体" w:cs="宋体"/>
                <w:color w:val="000000" w:themeColor="text1"/>
                <w:kern w:val="0"/>
                <w:sz w:val="24"/>
                <w:szCs w:val="24"/>
                <w:lang w:val="en-US" w:eastAsia="zh-CN"/>
                <w14:textFill>
                  <w14:solidFill>
                    <w14:schemeClr w14:val="tx1"/>
                  </w14:solidFill>
                </w14:textFill>
              </w:rPr>
              <w:t>支付全年服务费</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bookmarkEnd w:id="1"/>
          <w:bookmarkEnd w:id="2"/>
          <w:bookmarkEnd w:id="3"/>
          <w:bookmarkEnd w:id="4"/>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（三）合同签订</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成交供应商在接到成交通知后10日内与采购人签订采购合同和廉政购销协议。</w:t>
            </w:r>
          </w:p>
          <w:bookmarkEnd w:id="0"/>
          <w:p>
            <w:pPr>
              <w:snapToGrid w:val="0"/>
              <w:spacing w:line="360" w:lineRule="auto"/>
              <w:ind w:firstLine="560" w:firstLineChars="200"/>
              <w:rPr>
                <w:rFonts w:hint="eastAsia" w:ascii="宋体" w:hAnsi="宋体" w:eastAsia="宋体" w:cs="宋体"/>
                <w:color w:val="auto"/>
                <w:kern w:val="0"/>
                <w:sz w:val="24"/>
                <w:szCs w:val="24"/>
                <w:lang w:val="en-US" w:eastAsia="zh-CN"/>
              </w:rPr>
            </w:pPr>
            <w:r>
              <w:rPr>
                <w:rFonts w:hint="eastAsia" w:ascii="方正仿宋_GBK" w:hAnsi="方正仿宋_GBK" w:eastAsia="方正仿宋_GBK" w:cs="方正仿宋_GBK"/>
                <w:sz w:val="28"/>
                <w:szCs w:val="36"/>
              </w:rPr>
              <w:t>（四）</w:t>
            </w:r>
            <w:r>
              <w:rPr>
                <w:rFonts w:hint="eastAsia" w:ascii="宋体" w:hAnsi="宋体" w:eastAsia="宋体" w:cs="宋体"/>
                <w:color w:val="auto"/>
                <w:kern w:val="0"/>
                <w:sz w:val="24"/>
                <w:szCs w:val="24"/>
                <w:lang w:val="en-US" w:eastAsia="zh-CN"/>
              </w:rPr>
              <w:t>培训及验收</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1.在规定时间内完成交付正式使用，并经采购人确认。</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2.按照考核标准和服务内容对供应商服务内容进行验收，如考核不合格将承担相应违约责任。</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3.服务结束后，采购人对项目数据有质疑，应协助采购人调查。</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（六）质量保证及售后服务</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1.质量保证</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服务配套设备应保证运行正常，出现问题应24小时内解决。</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2.售后服务</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（1）投标人须依据招标参数及后期合同，如实履行样品检测及数据分析，保证科研数据真实可靠。</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（2）投标人需在合同期内随时解答与项目技术及数据分析相关问题，做好售后。</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（3）售后服务期以招标人科研成果产出需求为准。</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（七）</w:t>
            </w:r>
            <w:bookmarkStart w:id="5" w:name="_Toc3955"/>
            <w:r>
              <w:rPr>
                <w:rFonts w:hint="eastAsia" w:ascii="宋体" w:hAnsi="宋体" w:eastAsia="宋体" w:cs="宋体"/>
                <w:color w:val="auto"/>
                <w:kern w:val="0"/>
                <w:sz w:val="24"/>
                <w:szCs w:val="24"/>
                <w:lang w:val="en-US" w:eastAsia="zh-CN"/>
              </w:rPr>
              <w:t>踏勘</w:t>
            </w:r>
            <w:bookmarkEnd w:id="5"/>
            <w:r>
              <w:rPr>
                <w:rFonts w:hint="eastAsia" w:ascii="宋体" w:hAnsi="宋体" w:eastAsia="宋体" w:cs="宋体"/>
                <w:color w:val="auto"/>
                <w:kern w:val="0"/>
                <w:sz w:val="24"/>
                <w:szCs w:val="24"/>
                <w:lang w:val="en-US" w:eastAsia="zh-CN"/>
              </w:rPr>
              <w:t>现场</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采购人不组织现场踏勘，供应商自行踏勘了解项目信息，包括</w:t>
            </w:r>
            <w:bookmarkStart w:id="35" w:name="_GoBack"/>
            <w:bookmarkEnd w:id="35"/>
            <w:r>
              <w:rPr>
                <w:rFonts w:hint="eastAsia" w:ascii="宋体" w:hAnsi="宋体" w:eastAsia="宋体" w:cs="宋体"/>
                <w:color w:val="auto"/>
                <w:kern w:val="0"/>
                <w:sz w:val="24"/>
                <w:szCs w:val="24"/>
                <w:lang w:val="en-US" w:eastAsia="zh-CN"/>
              </w:rPr>
              <w:t>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（八）知识产权</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采购人在中华人民共和国境内使用供应商提供的货物及服务时免受第三方提出的侵犯其专利权或其它知识产权的起诉。如果第三方提出侵权指控，供应商应承担由此而引起的一切法律责任和费用。</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九）违约责任：中标供应商未在约定期限提供正式服务，延迟每日支付千分之三的违约金，超过30日未能交付，采购人有权解除合同；按照考核要求验收不合格，使用中发现产品质量缺陷，采购人有权要求供应商整改，整改期限为10日，整改期限届满仍未完成的供应商每日支付千分之三的违约金，超过20日未能完成整改，采购人有权解除合同；因不能按期交付，整改期限届满以及其他原因导致采购人解除合同，以及供应商明确表示终止合同，供应商需承担合同总金额30%的违约金，并承担对采购人造成的损失。</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（十）中选标准：本项目采用最低评标价法评选。如超出投标报价、未在规定的时间内上交资料及资料不齐全的为无效报价。</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十一）其他要求：1.本次采购过程中如产生专家评审费将由成交供应商承担；2.中标后需20日内签订采购合同和购销廉政协议，成交供应商拒绝签订或履行采购合同，采购人将向采购平台管理部门书面投诉，同时纳入采购人黑名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w:t>
            </w:r>
          </w:p>
          <w:p>
            <w:pPr>
              <w:spacing w:line="500" w:lineRule="exact"/>
              <w:ind w:firstLine="420" w:firstLineChars="200"/>
              <w:rPr>
                <w:rFonts w:hint="eastAsia" w:eastAsia="微软雅黑"/>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Times New Roman" w:hAnsi="Times New Roman" w:eastAsia="微软雅黑" w:cs="Times New Roman"/>
                <w:i w:val="0"/>
                <w:caps w:val="0"/>
                <w:color w:val="555555"/>
                <w:spacing w:val="0"/>
                <w:kern w:val="0"/>
                <w:sz w:val="21"/>
                <w:szCs w:val="21"/>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Times New Roman" w:hAnsi="Times New Roman" w:eastAsia="微软雅黑" w:cs="Times New Roman"/>
                <w:i w:val="0"/>
                <w:caps w:val="0"/>
                <w:color w:val="555555"/>
                <w:spacing w:val="0"/>
                <w:kern w:val="0"/>
                <w:sz w:val="21"/>
                <w:szCs w:val="21"/>
                <w:lang w:val="en-US" w:eastAsia="zh-CN" w:bidi="ar"/>
              </w:rPr>
            </w:pPr>
            <w:r>
              <w:rPr>
                <w:rFonts w:hint="eastAsia" w:ascii="Times New Roman" w:hAnsi="Times New Roman" w:eastAsia="微软雅黑" w:cs="Times New Roman"/>
                <w:i w:val="0"/>
                <w:caps w:val="0"/>
                <w:color w:val="555555"/>
                <w:spacing w:val="0"/>
                <w:kern w:val="0"/>
                <w:sz w:val="21"/>
                <w:szCs w:val="21"/>
                <w:lang w:val="en-US" w:eastAsia="zh-CN" w:bidi="ar"/>
              </w:rPr>
              <w:t>承诺：完全响应采购人的服务要求和商务要求，对本次投标资料的真实性负责。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1"/>
                <w:szCs w:val="21"/>
                <w:lang w:val="en-US" w:eastAsia="zh-CN" w:bidi="ar"/>
              </w:rPr>
            </w:pPr>
            <w:r>
              <w:rPr>
                <w:rFonts w:hint="eastAsia" w:ascii="Times New Roman" w:hAnsi="Times New Roman" w:eastAsia="微软雅黑" w:cs="Times New Roman"/>
                <w:i w:val="0"/>
                <w:caps w:val="0"/>
                <w:color w:val="555555"/>
                <w:spacing w:val="0"/>
                <w:kern w:val="0"/>
                <w:sz w:val="21"/>
                <w:szCs w:val="21"/>
                <w:lang w:val="en-US" w:eastAsia="zh-CN" w:bidi="ar"/>
              </w:rPr>
              <w:t xml:space="preserve">供应商名称（盖章）：               </w:t>
            </w:r>
          </w:p>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微软雅黑" w:cs="Times New Roman"/>
                <w:i w:val="0"/>
                <w:caps w:val="0"/>
                <w:color w:val="555555"/>
                <w:spacing w:val="0"/>
                <w:kern w:val="0"/>
                <w:sz w:val="21"/>
                <w:szCs w:val="21"/>
                <w:lang w:val="en-US" w:eastAsia="zh-CN" w:bidi="ar"/>
              </w:rPr>
              <w:t xml:space="preserve">                                           日期：               </w:t>
            </w:r>
          </w:p>
        </w:tc>
      </w:tr>
    </w:tbl>
    <w:p>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6" w:name="_Toc173677397"/>
      <w:bookmarkStart w:id="7" w:name="_Toc156196470"/>
      <w:bookmarkStart w:id="8" w:name="_Toc128229916"/>
      <w:bookmarkStart w:id="9" w:name="_Toc156196559"/>
      <w:bookmarkStart w:id="10" w:name="_Toc128229745"/>
      <w:bookmarkStart w:id="11" w:name="_Toc128229302"/>
      <w:bookmarkStart w:id="12" w:name="_Toc166549448"/>
      <w:bookmarkStart w:id="13" w:name="_Toc156730450"/>
      <w:bookmarkStart w:id="14" w:name="_Toc156815770"/>
      <w:bookmarkStart w:id="15" w:name="_Toc166139912"/>
      <w:bookmarkStart w:id="16" w:name="_Toc175017342"/>
      <w:r>
        <w:rPr>
          <w:rFonts w:hint="eastAsia" w:ascii="仿宋_GB2312" w:eastAsia="仿宋_GB2312"/>
          <w:color w:val="auto"/>
          <w:sz w:val="28"/>
          <w:szCs w:val="28"/>
        </w:rPr>
        <w:t>特此证明。</w:t>
      </w:r>
      <w:bookmarkEnd w:id="6"/>
      <w:bookmarkEnd w:id="7"/>
      <w:bookmarkEnd w:id="8"/>
      <w:bookmarkEnd w:id="9"/>
      <w:bookmarkEnd w:id="10"/>
      <w:bookmarkEnd w:id="11"/>
      <w:bookmarkEnd w:id="12"/>
      <w:bookmarkEnd w:id="13"/>
      <w:bookmarkEnd w:id="14"/>
      <w:bookmarkEnd w:id="15"/>
      <w:bookmarkEnd w:id="16"/>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7" w:name="_Toc166549449"/>
      <w:bookmarkStart w:id="18" w:name="_Toc128229917"/>
      <w:bookmarkStart w:id="19" w:name="_Toc128229303"/>
      <w:bookmarkStart w:id="20" w:name="_Toc175017343"/>
      <w:bookmarkStart w:id="21" w:name="_Toc156730451"/>
      <w:bookmarkStart w:id="22" w:name="_Toc156196471"/>
      <w:bookmarkStart w:id="23" w:name="_Toc156196560"/>
      <w:bookmarkStart w:id="24" w:name="_Toc166139913"/>
      <w:bookmarkStart w:id="25" w:name="_Toc128229746"/>
      <w:bookmarkStart w:id="26" w:name="_Toc173677398"/>
      <w:bookmarkStart w:id="27" w:name="_Toc156815771"/>
      <w:r>
        <w:rPr>
          <w:rFonts w:hint="eastAsia" w:ascii="仿宋_GB2312" w:eastAsia="仿宋_GB2312"/>
          <w:color w:val="auto"/>
          <w:sz w:val="28"/>
          <w:szCs w:val="28"/>
        </w:rPr>
        <w:t xml:space="preserve">  投标人全称</w:t>
      </w:r>
      <w:bookmarkEnd w:id="17"/>
      <w:bookmarkEnd w:id="18"/>
      <w:bookmarkEnd w:id="19"/>
      <w:bookmarkEnd w:id="20"/>
      <w:bookmarkEnd w:id="21"/>
      <w:bookmarkEnd w:id="22"/>
      <w:bookmarkEnd w:id="23"/>
      <w:bookmarkEnd w:id="24"/>
      <w:bookmarkEnd w:id="25"/>
      <w:bookmarkEnd w:id="26"/>
      <w:bookmarkEnd w:id="27"/>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hint="eastAsia" w:ascii="仿宋_GB2312" w:hAnsi="宋体" w:eastAsia="仿宋_GB2312"/>
          <w:color w:val="auto"/>
          <w:sz w:val="28"/>
          <w:szCs w:val="28"/>
        </w:rPr>
      </w:pPr>
      <w:r>
        <w:rPr>
          <w:rFonts w:hint="eastAsia" w:ascii="仿宋_GB2312" w:hAnsi="宋体" w:eastAsia="仿宋_GB2312"/>
          <w:color w:val="auto"/>
          <w:sz w:val="28"/>
          <w:szCs w:val="28"/>
        </w:rPr>
        <w:t xml:space="preserve">                                      年   月   日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w:t>
      </w:r>
      <w:r>
        <w:rPr>
          <w:rFonts w:hint="eastAsia" w:ascii="仿宋_GB2312" w:hAnsi="宋体" w:eastAsia="仿宋_GB2312"/>
          <w:color w:val="auto"/>
          <w:sz w:val="28"/>
          <w:szCs w:val="28"/>
          <w:lang w:val="en-US" w:eastAsia="zh-CN"/>
        </w:rPr>
        <w:t>法定代表人的</w:t>
      </w:r>
      <w:r>
        <w:rPr>
          <w:rFonts w:hint="eastAsia" w:ascii="仿宋_GB2312" w:hAnsi="宋体" w:eastAsia="仿宋_GB2312"/>
          <w:color w:val="auto"/>
          <w:sz w:val="28"/>
          <w:szCs w:val="28"/>
        </w:rPr>
        <w:t>身份证或护照复印件）</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8" w:name="_Toc128229747"/>
      <w:bookmarkStart w:id="29" w:name="_Toc156196472"/>
      <w:bookmarkStart w:id="30" w:name="_Toc128229304"/>
      <w:bookmarkStart w:id="31" w:name="_Toc128014297"/>
      <w:bookmarkStart w:id="32" w:name="_Toc237057793"/>
      <w:bookmarkStart w:id="33" w:name="_Toc175017344"/>
      <w:bookmarkStart w:id="34" w:name="_Toc173677399"/>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8"/>
      <w:bookmarkEnd w:id="29"/>
      <w:bookmarkEnd w:id="30"/>
      <w:bookmarkEnd w:id="31"/>
      <w:bookmarkEnd w:id="32"/>
      <w:bookmarkEnd w:id="33"/>
      <w:bookmarkEnd w:id="34"/>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w:t>
      </w:r>
      <w:r>
        <w:rPr>
          <w:rFonts w:hint="eastAsia" w:ascii="仿宋_GB2312" w:hAnsi="宋体" w:eastAsia="仿宋_GB2312"/>
          <w:color w:val="auto"/>
          <w:sz w:val="28"/>
          <w:szCs w:val="28"/>
          <w:lang w:val="en-US" w:eastAsia="zh-CN"/>
        </w:rPr>
        <w:t>被授权人的</w:t>
      </w:r>
      <w:r>
        <w:rPr>
          <w:rFonts w:hint="eastAsia" w:ascii="仿宋_GB2312" w:hAnsi="宋体" w:eastAsia="仿宋_GB2312"/>
          <w:color w:val="auto"/>
          <w:sz w:val="28"/>
          <w:szCs w:val="28"/>
        </w:rPr>
        <w:t>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7.服务配套产品介绍（能查看到产品参数）</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3E2337A"/>
    <w:rsid w:val="0C872834"/>
    <w:rsid w:val="0CC33F47"/>
    <w:rsid w:val="0CD914B5"/>
    <w:rsid w:val="0CE64C8D"/>
    <w:rsid w:val="0FD01451"/>
    <w:rsid w:val="122D0B62"/>
    <w:rsid w:val="1922346A"/>
    <w:rsid w:val="1AF86BE0"/>
    <w:rsid w:val="1BDE0896"/>
    <w:rsid w:val="1CF00EFC"/>
    <w:rsid w:val="1FA67FFA"/>
    <w:rsid w:val="21426D4A"/>
    <w:rsid w:val="236757CC"/>
    <w:rsid w:val="24E05FC0"/>
    <w:rsid w:val="2CEC7C70"/>
    <w:rsid w:val="2E2F3D72"/>
    <w:rsid w:val="2FC44243"/>
    <w:rsid w:val="33FB61AD"/>
    <w:rsid w:val="37545739"/>
    <w:rsid w:val="376E6279"/>
    <w:rsid w:val="485376B2"/>
    <w:rsid w:val="496140CE"/>
    <w:rsid w:val="49720CB8"/>
    <w:rsid w:val="4AE139DB"/>
    <w:rsid w:val="4BDB0A24"/>
    <w:rsid w:val="4C31315D"/>
    <w:rsid w:val="59BA3E3C"/>
    <w:rsid w:val="61130716"/>
    <w:rsid w:val="61143219"/>
    <w:rsid w:val="61FF5DDB"/>
    <w:rsid w:val="626B6216"/>
    <w:rsid w:val="67A74257"/>
    <w:rsid w:val="69D01878"/>
    <w:rsid w:val="6AA47354"/>
    <w:rsid w:val="6B69706A"/>
    <w:rsid w:val="6DD05A39"/>
    <w:rsid w:val="6EC6360F"/>
    <w:rsid w:val="713118C3"/>
    <w:rsid w:val="71C02C3F"/>
    <w:rsid w:val="72BB5C94"/>
    <w:rsid w:val="73F26470"/>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4"/>
    <w:next w:val="10"/>
    <w:qFormat/>
    <w:uiPriority w:val="0"/>
    <w:pPr>
      <w:spacing w:line="360" w:lineRule="auto"/>
      <w:ind w:firstLine="420"/>
    </w:pPr>
    <w:rPr>
      <w:rFonts w:ascii="宋体" w:hAnsi="宋体"/>
      <w:sz w:val="24"/>
    </w:rPr>
  </w:style>
  <w:style w:type="paragraph" w:styleId="10">
    <w:name w:val="Body Text First Indent 2"/>
    <w:basedOn w:val="5"/>
    <w:qFormat/>
    <w:uiPriority w:val="0"/>
    <w:pPr>
      <w:spacing w:after="120" w:afterLines="0" w:line="240" w:lineRule="auto"/>
      <w:ind w:left="420" w:leftChars="200" w:firstLine="420" w:firstLineChars="200"/>
    </w:pPr>
  </w:style>
  <w:style w:type="character" w:styleId="13">
    <w:name w:val="Strong"/>
    <w:basedOn w:val="12"/>
    <w:qFormat/>
    <w:uiPriority w:val="0"/>
    <w:rPr>
      <w:b/>
    </w:rPr>
  </w:style>
  <w:style w:type="paragraph" w:customStyle="1" w:styleId="1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6">
    <w:name w:val="font91"/>
    <w:basedOn w:val="12"/>
    <w:qFormat/>
    <w:uiPriority w:val="0"/>
    <w:rPr>
      <w:rFonts w:ascii="楷体" w:hAnsi="楷体" w:eastAsia="楷体" w:cs="楷体"/>
      <w:color w:val="000000"/>
      <w:sz w:val="22"/>
      <w:szCs w:val="22"/>
      <w:u w:val="none"/>
      <w:vertAlign w:val="superscript"/>
    </w:rPr>
  </w:style>
  <w:style w:type="character" w:customStyle="1" w:styleId="17">
    <w:name w:val="font21"/>
    <w:basedOn w:val="12"/>
    <w:qFormat/>
    <w:uiPriority w:val="0"/>
    <w:rPr>
      <w:rFonts w:hint="eastAsia" w:ascii="仿宋" w:hAnsi="仿宋" w:eastAsia="仿宋" w:cs="仿宋"/>
      <w:b/>
      <w:bCs/>
      <w:color w:val="000000"/>
      <w:sz w:val="24"/>
      <w:szCs w:val="24"/>
      <w:u w:val="none"/>
    </w:rPr>
  </w:style>
  <w:style w:type="paragraph" w:customStyle="1" w:styleId="18">
    <w:name w:val="BodyText"/>
    <w:basedOn w:val="1"/>
    <w:next w:val="19"/>
    <w:qFormat/>
    <w:uiPriority w:val="0"/>
    <w:pPr>
      <w:jc w:val="both"/>
      <w:textAlignment w:val="baseline"/>
    </w:pPr>
    <w:rPr>
      <w:rFonts w:ascii="仿宋_GB2312" w:eastAsia="仿宋_GB2312"/>
      <w:kern w:val="2"/>
      <w:sz w:val="32"/>
      <w:lang w:val="en-US" w:eastAsia="zh-CN" w:bidi="ar-SA"/>
    </w:rPr>
  </w:style>
  <w:style w:type="paragraph" w:customStyle="1" w:styleId="19">
    <w:name w:val="BodyTextIndent"/>
    <w:basedOn w:val="1"/>
    <w:qFormat/>
    <w:uiPriority w:val="0"/>
    <w:pPr>
      <w:spacing w:line="700" w:lineRule="exact"/>
      <w:ind w:left="960"/>
      <w:jc w:val="both"/>
      <w:textAlignment w:val="baseline"/>
    </w:pPr>
    <w:rPr>
      <w:kern w:val="2"/>
      <w:sz w:val="44"/>
      <w:lang w:val="en-US" w:eastAsia="zh-CN" w:bidi="ar-SA"/>
    </w:rPr>
  </w:style>
  <w:style w:type="paragraph" w:styleId="20">
    <w:name w:val="List Paragraph"/>
    <w:basedOn w:val="1"/>
    <w:qFormat/>
    <w:uiPriority w:val="34"/>
    <w:pPr>
      <w:ind w:firstLine="420" w:firstLineChars="200"/>
    </w:pPr>
  </w:style>
  <w:style w:type="paragraph" w:customStyle="1" w:styleId="21">
    <w:name w:val="HtmlPre"/>
    <w:basedOn w:val="1"/>
    <w:qFormat/>
    <w:uiPriority w:val="0"/>
    <w:pPr>
      <w:jc w:val="both"/>
      <w:textAlignment w:val="baseline"/>
    </w:pPr>
    <w:rPr>
      <w:rFonts w:ascii="Courier New" w:hAnsi="Courier New"/>
      <w:kern w:val="2"/>
      <w:sz w:val="20"/>
      <w:szCs w:val="24"/>
      <w:lang w:val="en-US" w:eastAsia="zh-CN" w:bidi="ar-SA"/>
    </w:rPr>
  </w:style>
  <w:style w:type="paragraph" w:customStyle="1" w:styleId="2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1</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2024-06-19T04:07:37Z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