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项目名称：生物样本保存液氮罐</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项目编号：BSRMYY-YNCG-2025-07009</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546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1813"/>
        <w:gridCol w:w="1294"/>
        <w:gridCol w:w="2223"/>
        <w:gridCol w:w="2445"/>
      </w:tblGrid>
      <w:tr w14:paraId="6C4EB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466"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923"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841"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w:t>
            </w:r>
          </w:p>
        </w:tc>
        <w:tc>
          <w:tcPr>
            <w:tcW w:w="600"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032"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1135" w:type="pct"/>
            <w:vAlign w:val="center"/>
          </w:tcPr>
          <w:p w14:paraId="3B9AAC1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合计总价（元）</w:t>
            </w:r>
          </w:p>
        </w:tc>
      </w:tr>
      <w:tr w14:paraId="7B9FB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466"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923"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生物样本保存液氮罐</w:t>
            </w:r>
          </w:p>
        </w:tc>
        <w:tc>
          <w:tcPr>
            <w:tcW w:w="841"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w:t>
            </w:r>
          </w:p>
        </w:tc>
        <w:tc>
          <w:tcPr>
            <w:tcW w:w="600"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个</w:t>
            </w:r>
          </w:p>
        </w:tc>
        <w:tc>
          <w:tcPr>
            <w:tcW w:w="1032"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19600</w:t>
            </w:r>
          </w:p>
        </w:tc>
        <w:tc>
          <w:tcPr>
            <w:tcW w:w="1135" w:type="pct"/>
            <w:vAlign w:val="center"/>
          </w:tcPr>
          <w:p w14:paraId="28F90DD5">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39200</w:t>
            </w:r>
          </w:p>
        </w:tc>
      </w:tr>
    </w:tbl>
    <w:p w14:paraId="73EE7FE2">
      <w:pPr>
        <w:pStyle w:val="25"/>
        <w:numPr>
          <w:ilvl w:val="0"/>
          <w:numId w:val="3"/>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技术要求（须完全响应）</w:t>
      </w:r>
    </w:p>
    <w:tbl>
      <w:tblPr>
        <w:tblStyle w:val="13"/>
        <w:tblW w:w="535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34"/>
        <w:gridCol w:w="1624"/>
        <w:gridCol w:w="2759"/>
        <w:gridCol w:w="4227"/>
        <w:gridCol w:w="1118"/>
      </w:tblGrid>
      <w:tr w14:paraId="0298E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5"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769"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1306" w:type="pct"/>
            <w:vAlign w:val="center"/>
          </w:tcPr>
          <w:p w14:paraId="41DA3A15">
            <w:pPr>
              <w:pStyle w:val="25"/>
              <w:numPr>
                <w:ilvl w:val="0"/>
                <w:numId w:val="0"/>
              </w:numPr>
              <w:jc w:val="center"/>
              <w:textAlignment w:val="baseline"/>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推荐品牌</w:t>
            </w:r>
          </w:p>
        </w:tc>
        <w:tc>
          <w:tcPr>
            <w:tcW w:w="2001" w:type="pct"/>
            <w:vAlign w:val="center"/>
          </w:tcPr>
          <w:p w14:paraId="1FA22701">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规格参数</w:t>
            </w:r>
          </w:p>
        </w:tc>
        <w:tc>
          <w:tcPr>
            <w:tcW w:w="526" w:type="pct"/>
            <w:vAlign w:val="center"/>
          </w:tcPr>
          <w:p w14:paraId="3BE81362">
            <w:pPr>
              <w:pStyle w:val="25"/>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用途范围</w:t>
            </w:r>
          </w:p>
        </w:tc>
      </w:tr>
      <w:tr w14:paraId="12268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9" w:hRule="atLeast"/>
          <w:jc w:val="center"/>
        </w:trPr>
        <w:tc>
          <w:tcPr>
            <w:tcW w:w="395"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769" w:type="pct"/>
            <w:shd w:val="clear" w:color="auto" w:fill="auto"/>
            <w:vAlign w:val="center"/>
          </w:tcPr>
          <w:p w14:paraId="5E5ACB0C">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生物样本保存液氮罐</w:t>
            </w:r>
          </w:p>
        </w:tc>
        <w:tc>
          <w:tcPr>
            <w:tcW w:w="1306" w:type="pct"/>
            <w:shd w:val="clear" w:color="auto" w:fill="auto"/>
            <w:vAlign w:val="center"/>
          </w:tcPr>
          <w:p w14:paraId="7A285520">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青岛海尔、成都金凤、中科美菱</w:t>
            </w:r>
          </w:p>
        </w:tc>
        <w:tc>
          <w:tcPr>
            <w:tcW w:w="2001" w:type="pct"/>
            <w:shd w:val="clear" w:color="auto" w:fill="auto"/>
            <w:vAlign w:val="center"/>
          </w:tcPr>
          <w:p w14:paraId="01DA3921">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1.每个液氮罐须包含主要配置：液氮罐1个，方提桶6个、冻存盒24个、2ml冻存管2400个</w:t>
            </w:r>
          </w:p>
          <w:p w14:paraId="0EA6F654">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2.每个液氮罐最大可同时贮存样品量（2ml冻存管）2400个左右</w:t>
            </w:r>
          </w:p>
          <w:p w14:paraId="3EF15CF3">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3.每个方提筒冻存盒数：4个</w:t>
            </w:r>
          </w:p>
          <w:p w14:paraId="74A1CF5B">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4.每盒冻存盒冻存格数：100格</w:t>
            </w:r>
          </w:p>
          <w:p w14:paraId="1520B15E">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5.几何容积：65L左右</w:t>
            </w:r>
          </w:p>
          <w:p w14:paraId="758D69C6">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6.口径：216±2mm</w:t>
            </w:r>
          </w:p>
          <w:p w14:paraId="0609DBF8">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7.外径：681±5mm</w:t>
            </w:r>
          </w:p>
          <w:p w14:paraId="450693CB">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8.高度：712±10mm</w:t>
            </w:r>
          </w:p>
          <w:p w14:paraId="53ABDCD3">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9.空重：38KG左右</w:t>
            </w:r>
          </w:p>
          <w:p w14:paraId="6B934CB3">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10.静态液氮日蒸发量O.78L左右</w:t>
            </w:r>
          </w:p>
          <w:p w14:paraId="33F2C321">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11.静态液氮保存期83天左右</w:t>
            </w:r>
          </w:p>
          <w:p w14:paraId="72794DFB">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12.材质及表面喷涂工艺：内外胆均为铝合金材质，外表面采用耐低温且附着力极佳的喷塑工艺</w:t>
            </w:r>
          </w:p>
          <w:p w14:paraId="2CDF0D1C">
            <w:pPr>
              <w:pStyle w:val="2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13.标配锁盖，方便加锁保护样本安全</w:t>
            </w:r>
          </w:p>
        </w:tc>
        <w:tc>
          <w:tcPr>
            <w:tcW w:w="526" w:type="pct"/>
            <w:shd w:val="clear" w:color="auto" w:fill="auto"/>
            <w:vAlign w:val="center"/>
          </w:tcPr>
          <w:p w14:paraId="5C28C1CF">
            <w:pPr>
              <w:pStyle w:val="25"/>
              <w:numPr>
                <w:ilvl w:val="0"/>
                <w:numId w:val="0"/>
              </w:numPr>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生物样本保存</w:t>
            </w:r>
          </w:p>
        </w:tc>
      </w:tr>
      <w:tr w14:paraId="49D9DF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6" w:hRule="atLeast"/>
          <w:jc w:val="center"/>
        </w:trPr>
        <w:tc>
          <w:tcPr>
            <w:tcW w:w="5000" w:type="pct"/>
            <w:gridSpan w:val="5"/>
            <w:shd w:val="clear" w:color="auto" w:fill="auto"/>
            <w:vAlign w:val="center"/>
          </w:tcPr>
          <w:p w14:paraId="764F3F98">
            <w:pPr>
              <w:pStyle w:val="25"/>
              <w:numPr>
                <w:ilvl w:val="0"/>
                <w:numId w:val="0"/>
              </w:numPr>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备注：供应商响应品牌须为采购人推荐品牌</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0985E1E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按照国家有关法律法规规定。</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786F49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本项目最高单价详见</w:t>
      </w:r>
      <w:r>
        <w:rPr>
          <w:rFonts w:hint="eastAsia" w:ascii="方正仿宋_GBK" w:hAnsi="方正仿宋_GBK" w:eastAsia="方正仿宋_GBK" w:cs="方正仿宋_GBK"/>
          <w:b w:val="0"/>
          <w:color w:val="auto"/>
          <w:kern w:val="0"/>
          <w:sz w:val="32"/>
          <w:szCs w:val="32"/>
          <w:highlight w:val="none"/>
          <w:lang w:val="en-US" w:eastAsia="zh-CN" w:bidi="ar-SA"/>
        </w:rPr>
        <w:t>“一、采购项目介绍”</w:t>
      </w:r>
      <w:r>
        <w:rPr>
          <w:rFonts w:hint="eastAsia" w:ascii="方正仿宋_GBK" w:hAnsi="方正仿宋_GBK" w:eastAsia="方正仿宋_GBK" w:cs="方正仿宋_GBK"/>
          <w:color w:val="auto"/>
          <w:kern w:val="0"/>
          <w:sz w:val="32"/>
          <w:szCs w:val="32"/>
          <w:highlight w:val="none"/>
          <w:lang w:val="en-US" w:eastAsia="zh-CN"/>
        </w:rPr>
        <w:t>。</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价包括但不限于货款、</w:t>
      </w:r>
      <w:r>
        <w:rPr>
          <w:rFonts w:hint="eastAsia" w:ascii="方正仿宋_GBK" w:hAnsi="方正仿宋_GBK" w:eastAsia="方正仿宋_GBK" w:cs="方正仿宋_GBK"/>
          <w:color w:val="auto"/>
          <w:kern w:val="0"/>
          <w:sz w:val="32"/>
          <w:szCs w:val="32"/>
          <w:highlight w:val="none"/>
          <w:lang w:val="en-US" w:eastAsia="zh-CN"/>
        </w:rPr>
        <w:t>运输装卸安放（须安放到采购人指定位置）、</w:t>
      </w:r>
      <w:r>
        <w:rPr>
          <w:rFonts w:hint="eastAsia" w:ascii="方正仿宋_GBK" w:hAnsi="方正仿宋_GBK" w:eastAsia="方正仿宋_GBK" w:cs="方正仿宋_GBK"/>
          <w:color w:val="auto"/>
          <w:kern w:val="0"/>
          <w:sz w:val="32"/>
          <w:szCs w:val="32"/>
          <w:highlight w:val="none"/>
          <w:lang w:val="en-US" w:eastAsia="zh-CN"/>
        </w:rPr>
        <w:t>质保期维护保养费（含易损件更换）、资料装订及邮寄费、税费、保险费、验收检测费等完成本项目所需的一切费用。因成交供应商自身原因造成漏报、少报皆由其自行承担责任，采购人不再补偿。</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中选后，一般情况接采购人通知后30个工作日内完成送货，特殊情况90天内完成送货；</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7D4B38C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到货后确认产品外观、配置、规格等符合招标文件要求作为初步验收，初步验收无异常由供应商安放至采购人指定位置，后续采购人自行完成液氮冲装，冲装后试运行1个月无异常才作为最终验收。</w:t>
      </w:r>
      <w:r>
        <w:rPr>
          <w:rFonts w:hint="eastAsia" w:ascii="方正仿宋_GBK" w:hAnsi="方正仿宋_GBK" w:eastAsia="方正仿宋_GBK" w:cs="方正仿宋_GBK"/>
          <w:color w:val="auto"/>
          <w:kern w:val="0"/>
          <w:sz w:val="32"/>
          <w:szCs w:val="32"/>
          <w:highlight w:val="none"/>
          <w:lang w:val="en-US" w:eastAsia="zh-CN"/>
        </w:rPr>
        <w:t>验收后使用中发现产品质量争议按照验收争议进行处理；验收争议时由采购人邀请第三方机构检测，费用由供应商承担。</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w:t>
      </w:r>
      <w:r>
        <w:rPr>
          <w:rFonts w:hint="eastAsia" w:ascii="方正仿宋_GBK" w:hAnsi="方正仿宋_GBK" w:eastAsia="方正仿宋_GBK" w:cs="方正仿宋_GBK"/>
          <w:color w:val="auto"/>
          <w:kern w:val="0"/>
          <w:sz w:val="32"/>
          <w:szCs w:val="32"/>
          <w:highlight w:val="none"/>
          <w:lang w:val="en-US" w:eastAsia="zh-CN"/>
        </w:rPr>
        <w:t>送货产品须为生产日期1年内的全新产品。</w:t>
      </w:r>
    </w:p>
    <w:p w14:paraId="09E841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（2）有效期及质保期限：产品到院时剩余有效期不得少于总效期的2/3，效期临近的免费更换。</w:t>
      </w:r>
      <w:r>
        <w:rPr>
          <w:rFonts w:hint="eastAsia" w:ascii="方正仿宋_GBK" w:hAnsi="方正仿宋_GBK" w:eastAsia="方正仿宋_GBK" w:cs="方正仿宋_GBK"/>
          <w:color w:val="auto"/>
          <w:kern w:val="0"/>
          <w:sz w:val="32"/>
          <w:szCs w:val="32"/>
          <w:highlight w:val="none"/>
          <w:lang w:val="en-US" w:eastAsia="zh-CN"/>
        </w:rPr>
        <w:t>产品质保期不少于3年，</w:t>
      </w:r>
      <w:r>
        <w:rPr>
          <w:rFonts w:hint="eastAsia" w:ascii="方正仿宋_GBK" w:hAnsi="方正仿宋_GBK" w:eastAsia="方正仿宋_GBK" w:cs="方正仿宋_GBK"/>
          <w:color w:val="auto"/>
          <w:kern w:val="0"/>
          <w:sz w:val="32"/>
          <w:szCs w:val="32"/>
          <w:highlight w:val="none"/>
          <w:lang w:val="en-US" w:eastAsia="zh-CN"/>
        </w:rPr>
        <w:t>质保期内非人为损坏免费更换或维修，维修为原厂配件。</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（3）产品出现任何故障，供应商应30分钟提供电话响应，4小时到达医院处置。</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65A0B39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合同总金额千分之三的违约金，超过30日未能交付，采购人有权单方面解除合同，并要求供应商承担合同总额30%的违约金；项目验收不合格或使用中发现产品质量缺陷，采购人有权要求供应商整改，整改期限为10日，整改期限届满仍未完成的供应商每日支付合同总金额千分之三的违约金，超过20日未能完成整改，采购人有权解除合同；未按配套服务要求提供服务的，供应商将承担200元/次的违约金；发生与产品质量相关的不良事件，除免费更换全批次产品外，每次扣罚产品金额两倍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39955EA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因供应商及其产品原因导致采购人损失的，应赔偿对医院造成的直接和间接损失全额损失。合同履行期间发生争议，协商无果由重庆市璧山区人民法院裁决。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143471F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按照国家有关法律法规规定。</w:t>
      </w: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304"/>
      <w:bookmarkStart w:id="1" w:name="_Toc128229747"/>
      <w:bookmarkStart w:id="2" w:name="_Toc237057793"/>
      <w:bookmarkStart w:id="3" w:name="_Toc128014297"/>
      <w:bookmarkStart w:id="4" w:name="_Toc156196472"/>
      <w:bookmarkStart w:id="5" w:name="_Toc175017344"/>
      <w:bookmarkStart w:id="6" w:name="_Toc173677399"/>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4"/>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愿意按照询价采购文件中的一切要求，提供本项目的产品，按照产品总价报价为人民币大写：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w:t>
      </w:r>
    </w:p>
    <w:p w14:paraId="3B421839">
      <w:pPr>
        <w:pStyle w:val="9"/>
        <w:numPr>
          <w:ilvl w:val="0"/>
          <w:numId w:val="4"/>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1"/>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本产品其他采购人的业绩资料（如合同或发票等）。</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w:t>
      </w:r>
      <w:r>
        <w:rPr>
          <w:rFonts w:hint="eastAsia" w:ascii="仿宋_GB2312" w:hAnsi="宋体" w:eastAsia="仿宋_GB2312" w:cs="宋体"/>
          <w:kern w:val="2"/>
          <w:sz w:val="32"/>
          <w:szCs w:val="32"/>
          <w:highlight w:val="none"/>
          <w:lang w:val="en-US" w:eastAsia="zh-CN" w:bidi="ar-SA"/>
        </w:rPr>
        <w:t>产品说明书、检验检测报告</w:t>
      </w:r>
      <w:r>
        <w:rPr>
          <w:rFonts w:hint="eastAsia" w:ascii="仿宋_GB2312" w:eastAsia="仿宋_GB2312" w:cs="宋体"/>
          <w:color w:val="auto"/>
          <w:sz w:val="32"/>
          <w:szCs w:val="32"/>
          <w:highlight w:val="none"/>
          <w:lang w:val="en-US" w:eastAsia="zh-CN"/>
        </w:rPr>
        <w:t>等）</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bookmarkStart w:id="7" w:name="_GoBack"/>
      <w:bookmarkEnd w:id="7"/>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50FAEED"/>
    <w:multiLevelType w:val="singleLevel"/>
    <w:tmpl w:val="650FAEED"/>
    <w:lvl w:ilvl="0" w:tentative="0">
      <w:start w:val="2"/>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F4D0AAA"/>
    <w:rsid w:val="0F8419BC"/>
    <w:rsid w:val="0F9718DF"/>
    <w:rsid w:val="0FD01451"/>
    <w:rsid w:val="116E3FA7"/>
    <w:rsid w:val="122D0B62"/>
    <w:rsid w:val="133D5E0A"/>
    <w:rsid w:val="15D4217A"/>
    <w:rsid w:val="1922346A"/>
    <w:rsid w:val="1AAE2C67"/>
    <w:rsid w:val="1AF86BE0"/>
    <w:rsid w:val="1B3306B6"/>
    <w:rsid w:val="1BDE0896"/>
    <w:rsid w:val="1C1979BC"/>
    <w:rsid w:val="1CA06CA3"/>
    <w:rsid w:val="1CE4012E"/>
    <w:rsid w:val="1CF00EFC"/>
    <w:rsid w:val="1F2F00AB"/>
    <w:rsid w:val="1FC97167"/>
    <w:rsid w:val="2027068C"/>
    <w:rsid w:val="205210D9"/>
    <w:rsid w:val="20746E51"/>
    <w:rsid w:val="21426D4A"/>
    <w:rsid w:val="215F0650"/>
    <w:rsid w:val="236757CC"/>
    <w:rsid w:val="23FB11F4"/>
    <w:rsid w:val="24A31377"/>
    <w:rsid w:val="24E472F0"/>
    <w:rsid w:val="28256D6A"/>
    <w:rsid w:val="28275AF0"/>
    <w:rsid w:val="29AE2A56"/>
    <w:rsid w:val="2C3529EE"/>
    <w:rsid w:val="2CCA628B"/>
    <w:rsid w:val="2F2F3117"/>
    <w:rsid w:val="2FC44243"/>
    <w:rsid w:val="31092EA8"/>
    <w:rsid w:val="31B12793"/>
    <w:rsid w:val="32BA35D6"/>
    <w:rsid w:val="33FB61AD"/>
    <w:rsid w:val="342C6BC9"/>
    <w:rsid w:val="35761799"/>
    <w:rsid w:val="359B4383"/>
    <w:rsid w:val="376E6279"/>
    <w:rsid w:val="38A14340"/>
    <w:rsid w:val="396A2364"/>
    <w:rsid w:val="3A6A181A"/>
    <w:rsid w:val="3A800389"/>
    <w:rsid w:val="3D485EC4"/>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F6D75ED"/>
    <w:rsid w:val="51352B6B"/>
    <w:rsid w:val="51915C25"/>
    <w:rsid w:val="53A17F68"/>
    <w:rsid w:val="53DB6C22"/>
    <w:rsid w:val="54B6568B"/>
    <w:rsid w:val="55085A60"/>
    <w:rsid w:val="55BB5978"/>
    <w:rsid w:val="59343196"/>
    <w:rsid w:val="599E0097"/>
    <w:rsid w:val="5ADB7D78"/>
    <w:rsid w:val="5D6C0A93"/>
    <w:rsid w:val="5D915A0E"/>
    <w:rsid w:val="5DBD061A"/>
    <w:rsid w:val="5E932E93"/>
    <w:rsid w:val="5FA4498B"/>
    <w:rsid w:val="60480506"/>
    <w:rsid w:val="61130716"/>
    <w:rsid w:val="61143219"/>
    <w:rsid w:val="61707CCC"/>
    <w:rsid w:val="61A6052D"/>
    <w:rsid w:val="623E37BE"/>
    <w:rsid w:val="626B6216"/>
    <w:rsid w:val="63814C5E"/>
    <w:rsid w:val="63FA2F2B"/>
    <w:rsid w:val="64077B7B"/>
    <w:rsid w:val="641D2F42"/>
    <w:rsid w:val="651C3DE1"/>
    <w:rsid w:val="66A178F0"/>
    <w:rsid w:val="676905E0"/>
    <w:rsid w:val="67CF5844"/>
    <w:rsid w:val="685314B5"/>
    <w:rsid w:val="69841E39"/>
    <w:rsid w:val="69D01878"/>
    <w:rsid w:val="6A1F4430"/>
    <w:rsid w:val="6B247663"/>
    <w:rsid w:val="6CDE3758"/>
    <w:rsid w:val="6D0072B3"/>
    <w:rsid w:val="6D1F523E"/>
    <w:rsid w:val="6D38732A"/>
    <w:rsid w:val="6DD05A39"/>
    <w:rsid w:val="6EC6360F"/>
    <w:rsid w:val="6EE24C47"/>
    <w:rsid w:val="6FB940CF"/>
    <w:rsid w:val="704D7FCB"/>
    <w:rsid w:val="712B71E9"/>
    <w:rsid w:val="713118C3"/>
    <w:rsid w:val="71C02C3F"/>
    <w:rsid w:val="72BB5C94"/>
    <w:rsid w:val="72FB7C35"/>
    <w:rsid w:val="732B3BA9"/>
    <w:rsid w:val="74664EBC"/>
    <w:rsid w:val="748E4735"/>
    <w:rsid w:val="74A2126A"/>
    <w:rsid w:val="761A5C47"/>
    <w:rsid w:val="77DC750A"/>
    <w:rsid w:val="77FA34D6"/>
    <w:rsid w:val="78024143"/>
    <w:rsid w:val="78F54CD1"/>
    <w:rsid w:val="799B64FC"/>
    <w:rsid w:val="7AF0174A"/>
    <w:rsid w:val="7B5C1973"/>
    <w:rsid w:val="7BDE27F0"/>
    <w:rsid w:val="7C6F2CF1"/>
    <w:rsid w:val="7CB244A3"/>
    <w:rsid w:val="7EBD0F4B"/>
    <w:rsid w:val="7EE67CE4"/>
    <w:rsid w:val="7EF26C55"/>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6243</Words>
  <Characters>6490</Characters>
  <Lines>0</Lines>
  <Paragraphs>0</Paragraphs>
  <TotalTime>0</TotalTime>
  <ScaleCrop>false</ScaleCrop>
  <LinksUpToDate>false</LinksUpToDate>
  <CharactersWithSpaces>7180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2025-07-21T10:19:17Z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