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highlight w:val="none"/>
          <w:lang w:val="en-US" w:eastAsia="zh-CN"/>
        </w:rPr>
      </w:pPr>
    </w:p>
    <w:p>
      <w:pPr>
        <w:rPr>
          <w:rFonts w:hint="eastAsia"/>
          <w:highlight w:val="none"/>
          <w:lang w:val="en-US" w:eastAsia="zh-CN"/>
        </w:rPr>
      </w:pPr>
    </w:p>
    <w:p>
      <w:pPr>
        <w:jc w:val="center"/>
        <w:rPr>
          <w:rFonts w:hint="eastAsia"/>
          <w:b/>
          <w:bCs/>
          <w:sz w:val="84"/>
          <w:szCs w:val="84"/>
          <w:highlight w:val="none"/>
          <w:lang w:val="en-US" w:eastAsia="zh-CN"/>
        </w:rPr>
      </w:pPr>
    </w:p>
    <w:p>
      <w:pPr>
        <w:jc w:val="center"/>
        <w:rPr>
          <w:rFonts w:hint="eastAsia"/>
          <w:b/>
          <w:bCs/>
          <w:sz w:val="84"/>
          <w:szCs w:val="84"/>
          <w:highlight w:val="none"/>
          <w:lang w:val="en-US" w:eastAsia="zh-CN"/>
        </w:rPr>
      </w:pPr>
      <w:r>
        <w:rPr>
          <w:rFonts w:hint="eastAsia"/>
          <w:b/>
          <w:bCs/>
          <w:sz w:val="84"/>
          <w:szCs w:val="84"/>
          <w:highlight w:val="none"/>
          <w:lang w:val="en-US" w:eastAsia="zh-CN"/>
        </w:rPr>
        <w:t>封面</w:t>
      </w:r>
    </w:p>
    <w:p>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pPr>
        <w:jc w:val="center"/>
        <w:rPr>
          <w:rFonts w:hint="eastAsia"/>
          <w:b/>
          <w:bCs/>
          <w:sz w:val="44"/>
          <w:szCs w:val="44"/>
          <w:highlight w:val="none"/>
          <w:lang w:val="en-US" w:eastAsia="zh-CN"/>
        </w:rPr>
      </w:pPr>
    </w:p>
    <w:p>
      <w:pPr>
        <w:rPr>
          <w:rFonts w:hint="eastAsia"/>
          <w:sz w:val="32"/>
          <w:szCs w:val="32"/>
          <w:highlight w:val="none"/>
          <w:lang w:val="en-US" w:eastAsia="zh-CN"/>
        </w:rPr>
      </w:pPr>
    </w:p>
    <w:p>
      <w:pPr>
        <w:rPr>
          <w:rFonts w:hint="eastAsia"/>
          <w:sz w:val="32"/>
          <w:szCs w:val="32"/>
          <w:highlight w:val="none"/>
          <w:lang w:val="en-US" w:eastAsia="zh-CN"/>
        </w:rPr>
      </w:pPr>
    </w:p>
    <w:p>
      <w:pPr>
        <w:rPr>
          <w:rFonts w:hint="eastAsia"/>
          <w:sz w:val="32"/>
          <w:szCs w:val="32"/>
          <w:highlight w:val="none"/>
          <w:lang w:val="en-US" w:eastAsia="zh-CN"/>
        </w:rPr>
      </w:pPr>
    </w:p>
    <w:p>
      <w:pPr>
        <w:rPr>
          <w:rFonts w:hint="eastAsia"/>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项目名称：病理级载玻片，粘附载玻片，显微镜盖玻片</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项目编号：BSRMYY-YNCG-2025-10011</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pPr>
        <w:rPr>
          <w:rFonts w:hint="eastAsia"/>
          <w:sz w:val="44"/>
          <w:szCs w:val="44"/>
          <w:highlight w:val="none"/>
          <w:lang w:val="en-US" w:eastAsia="zh-CN"/>
        </w:rPr>
      </w:pPr>
      <w:r>
        <w:rPr>
          <w:rFonts w:hint="eastAsia"/>
          <w:sz w:val="44"/>
          <w:szCs w:val="44"/>
          <w:highlight w:val="none"/>
          <w:lang w:val="en-US" w:eastAsia="zh-CN"/>
        </w:rPr>
        <w:br w:type="page"/>
      </w:r>
    </w:p>
    <w:p>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526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50"/>
        <w:gridCol w:w="2581"/>
        <w:gridCol w:w="2301"/>
        <w:gridCol w:w="2495"/>
        <w:gridCol w:w="215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09"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242"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1107"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单价限价（元/片）</w:t>
            </w:r>
          </w:p>
        </w:tc>
        <w:tc>
          <w:tcPr>
            <w:tcW w:w="1201"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预估用量（片）</w:t>
            </w:r>
          </w:p>
        </w:tc>
        <w:tc>
          <w:tcPr>
            <w:tcW w:w="1038"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总价合计（元）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09"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242" w:type="pct"/>
            <w:vAlign w:val="center"/>
          </w:tcPr>
          <w:p>
            <w:pPr>
              <w:pageBreakBefore w:val="0"/>
              <w:widowControl/>
              <w:kinsoku/>
              <w:wordWrap/>
              <w:overflowPunct/>
              <w:topLinePunct w:val="0"/>
              <w:autoSpaceDE/>
              <w:autoSpaceDN/>
              <w:bidi w:val="0"/>
              <w:adjustRightInd/>
              <w:snapToGrid/>
              <w:spacing w:line="240" w:lineRule="auto"/>
              <w:ind w:firstLine="0" w:firstLineChars="0"/>
              <w:jc w:val="left"/>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 xml:space="preserve">病理级载玻片 </w:t>
            </w:r>
          </w:p>
        </w:tc>
        <w:tc>
          <w:tcPr>
            <w:tcW w:w="1107"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0.32</w:t>
            </w:r>
          </w:p>
        </w:tc>
        <w:tc>
          <w:tcPr>
            <w:tcW w:w="1201"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112500</w:t>
            </w:r>
          </w:p>
        </w:tc>
        <w:tc>
          <w:tcPr>
            <w:tcW w:w="1038" w:type="pct"/>
            <w:vMerge w:val="restar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99500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09"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1242" w:type="pct"/>
            <w:vAlign w:val="center"/>
          </w:tcPr>
          <w:p>
            <w:pPr>
              <w:pageBreakBefore w:val="0"/>
              <w:widowControl/>
              <w:kinsoku/>
              <w:wordWrap/>
              <w:overflowPunct/>
              <w:topLinePunct w:val="0"/>
              <w:autoSpaceDE/>
              <w:autoSpaceDN/>
              <w:bidi w:val="0"/>
              <w:adjustRightInd/>
              <w:snapToGrid/>
              <w:spacing w:line="240" w:lineRule="auto"/>
              <w:ind w:firstLine="0" w:firstLineChars="0"/>
              <w:jc w:val="left"/>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 xml:space="preserve">粘附载玻片 </w:t>
            </w:r>
          </w:p>
        </w:tc>
        <w:tc>
          <w:tcPr>
            <w:tcW w:w="1107"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0.96</w:t>
            </w:r>
          </w:p>
        </w:tc>
        <w:tc>
          <w:tcPr>
            <w:tcW w:w="1201"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66000</w:t>
            </w:r>
          </w:p>
        </w:tc>
        <w:tc>
          <w:tcPr>
            <w:tcW w:w="1038" w:type="pct"/>
            <w:vMerge w:val="continue"/>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09"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c>
          <w:tcPr>
            <w:tcW w:w="1242" w:type="pct"/>
            <w:vAlign w:val="center"/>
          </w:tcPr>
          <w:p>
            <w:pPr>
              <w:pageBreakBefore w:val="0"/>
              <w:widowControl/>
              <w:kinsoku/>
              <w:wordWrap/>
              <w:overflowPunct/>
              <w:topLinePunct w:val="0"/>
              <w:autoSpaceDE/>
              <w:autoSpaceDN/>
              <w:bidi w:val="0"/>
              <w:adjustRightInd/>
              <w:snapToGrid/>
              <w:spacing w:line="240" w:lineRule="auto"/>
              <w:ind w:firstLine="0" w:firstLineChars="0"/>
              <w:jc w:val="left"/>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显微镜盖玻片</w:t>
            </w:r>
          </w:p>
        </w:tc>
        <w:tc>
          <w:tcPr>
            <w:tcW w:w="1107"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0.14</w:t>
            </w:r>
          </w:p>
        </w:tc>
        <w:tc>
          <w:tcPr>
            <w:tcW w:w="1201"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1000</w:t>
            </w:r>
          </w:p>
        </w:tc>
        <w:tc>
          <w:tcPr>
            <w:tcW w:w="1038" w:type="pct"/>
            <w:vMerge w:val="continue"/>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bl>
    <w:p>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sz w:val="28"/>
          <w:szCs w:val="28"/>
          <w:highlight w:val="none"/>
          <w:lang w:val="en-US" w:eastAsia="zh-CN"/>
        </w:rPr>
        <w:t>备注：本项目招采3年单价，预估用量不做采购承诺，合同期限3年以实际验收用量据实结算。</w:t>
      </w:r>
    </w:p>
    <w:p>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5498" w:type="pct"/>
        <w:tblInd w:w="-43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48"/>
        <w:gridCol w:w="1771"/>
        <w:gridCol w:w="6268"/>
        <w:gridCol w:w="194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391" w:type="pct"/>
            <w:vAlign w:val="center"/>
          </w:tcPr>
          <w:p>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序号</w:t>
            </w:r>
          </w:p>
        </w:tc>
        <w:tc>
          <w:tcPr>
            <w:tcW w:w="817" w:type="pct"/>
            <w:vAlign w:val="center"/>
          </w:tcPr>
          <w:p>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名称</w:t>
            </w:r>
          </w:p>
        </w:tc>
        <w:tc>
          <w:tcPr>
            <w:tcW w:w="2892" w:type="pct"/>
            <w:vAlign w:val="center"/>
          </w:tcPr>
          <w:p>
            <w:pPr>
              <w:pStyle w:val="25"/>
              <w:numPr>
                <w:ilvl w:val="0"/>
                <w:numId w:val="0"/>
              </w:numPr>
              <w:jc w:val="center"/>
              <w:textAlignment w:val="baseline"/>
              <w:rPr>
                <w:rFonts w:hint="default"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规格参数</w:t>
            </w:r>
          </w:p>
        </w:tc>
        <w:tc>
          <w:tcPr>
            <w:tcW w:w="898" w:type="pct"/>
            <w:vAlign w:val="center"/>
          </w:tcPr>
          <w:p>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用途范围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41" w:hRule="atLeast"/>
        </w:trPr>
        <w:tc>
          <w:tcPr>
            <w:tcW w:w="391" w:type="pct"/>
            <w:shd w:val="clear" w:color="auto" w:fill="auto"/>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817" w:type="pct"/>
            <w:shd w:val="clear" w:color="auto" w:fill="auto"/>
            <w:vAlign w:val="center"/>
          </w:tcPr>
          <w:p>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 xml:space="preserve">病理级载玻片  </w:t>
            </w:r>
          </w:p>
        </w:tc>
        <w:tc>
          <w:tcPr>
            <w:tcW w:w="2892" w:type="pct"/>
            <w:shd w:val="clear" w:color="auto" w:fill="auto"/>
            <w:vAlign w:val="center"/>
          </w:tcPr>
          <w:p>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病理级载玻片尺寸：25x 75.0mm，</w:t>
            </w:r>
            <w:r>
              <w:rPr>
                <w:rFonts w:hint="eastAsia" w:ascii="方正仿宋_GBK" w:hAnsi="方正仿宋_GBK" w:eastAsia="方正仿宋_GBK" w:cs="方正仿宋_GBK"/>
                <w:b/>
                <w:bCs/>
                <w:color w:val="auto"/>
                <w:sz w:val="24"/>
                <w:szCs w:val="24"/>
                <w:highlight w:val="none"/>
                <w:lang w:val="en-US" w:eastAsia="zh-CN"/>
              </w:rPr>
              <w:t>浮法玻璃，厚度1.1(士0.1)mm，</w:t>
            </w:r>
            <w:r>
              <w:rPr>
                <w:rFonts w:hint="eastAsia" w:ascii="方正仿宋_GBK" w:hAnsi="方正仿宋_GBK" w:eastAsia="方正仿宋_GBK" w:cs="方正仿宋_GBK"/>
                <w:b/>
                <w:bCs/>
                <w:sz w:val="24"/>
                <w:szCs w:val="24"/>
                <w:highlight w:val="none"/>
                <w:lang w:val="en-US" w:eastAsia="zh-CN"/>
              </w:rPr>
              <w:t>油漆面高度为19±1mm，水磨边，标准倒角，透光度：≥90%，折射率 ：1.53±0.02；</w:t>
            </w:r>
          </w:p>
          <w:p>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性能要求：适用于采购人现有广州金泉激光型打号机、铅笔、马克笔，永久性标记;</w:t>
            </w:r>
          </w:p>
          <w:p>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环保节能要求：符合相关国家要求及行业标准。</w:t>
            </w:r>
          </w:p>
        </w:tc>
        <w:tc>
          <w:tcPr>
            <w:tcW w:w="898" w:type="pct"/>
            <w:shd w:val="clear" w:color="auto" w:fill="auto"/>
            <w:vAlign w:val="center"/>
          </w:tcPr>
          <w:p>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用于组织学、病理学中常规HE制片染色或细胞染色检查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8" w:hRule="atLeast"/>
        </w:trPr>
        <w:tc>
          <w:tcPr>
            <w:tcW w:w="391" w:type="pct"/>
            <w:shd w:val="clear" w:color="auto" w:fill="auto"/>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817" w:type="pct"/>
            <w:shd w:val="clear" w:color="auto" w:fill="auto"/>
            <w:vAlign w:val="center"/>
          </w:tcPr>
          <w:p>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粘附载玻片</w:t>
            </w:r>
          </w:p>
        </w:tc>
        <w:tc>
          <w:tcPr>
            <w:tcW w:w="2892" w:type="pct"/>
            <w:shd w:val="clear" w:color="auto" w:fill="auto"/>
            <w:vAlign w:val="center"/>
          </w:tcPr>
          <w:p>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粘附载玻片尺寸：25x 75.0mm，厚度：1.0-1.2mm，</w:t>
            </w:r>
            <w:r>
              <w:rPr>
                <w:rFonts w:hint="eastAsia" w:ascii="方正仿宋_GBK" w:hAnsi="方正仿宋_GBK" w:eastAsia="方正仿宋_GBK" w:cs="方正仿宋_GBK"/>
                <w:b/>
                <w:bCs/>
                <w:color w:val="auto"/>
                <w:sz w:val="24"/>
                <w:szCs w:val="24"/>
                <w:highlight w:val="none"/>
                <w:lang w:val="en-US" w:eastAsia="zh-CN"/>
              </w:rPr>
              <w:t>表面经正电荷处理，单头单面白色涂装，超白玻璃材质，抛光边，45°角，带两个“+”符号，</w:t>
            </w:r>
            <w:r>
              <w:rPr>
                <w:rFonts w:hint="eastAsia" w:ascii="方正仿宋_GBK" w:hAnsi="方正仿宋_GBK" w:eastAsia="方正仿宋_GBK" w:cs="方正仿宋_GBK"/>
                <w:b/>
                <w:bCs/>
                <w:sz w:val="24"/>
                <w:szCs w:val="24"/>
                <w:highlight w:val="none"/>
                <w:lang w:val="en-US" w:eastAsia="zh-CN"/>
              </w:rPr>
              <w:t>透光度：≥90%，折射率 ：1.53±0.02</w:t>
            </w:r>
            <w:r>
              <w:rPr>
                <w:rFonts w:hint="eastAsia" w:ascii="方正仿宋_GBK" w:hAnsi="方正仿宋_GBK" w:eastAsia="方正仿宋_GBK" w:cs="方正仿宋_GBK"/>
                <w:b/>
                <w:bCs/>
                <w:color w:val="auto"/>
                <w:sz w:val="24"/>
                <w:szCs w:val="24"/>
                <w:highlight w:val="none"/>
                <w:lang w:val="en-US" w:eastAsia="zh-CN"/>
              </w:rPr>
              <w:t>；</w:t>
            </w:r>
          </w:p>
          <w:p>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性能要求：适用于采购人现有广州金泉激光型打号机、铅笔、马克笔，永久性标记;</w:t>
            </w:r>
          </w:p>
          <w:p>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环保节能要求：符合相关国家要求及行业标准。</w:t>
            </w:r>
          </w:p>
        </w:tc>
        <w:tc>
          <w:tcPr>
            <w:tcW w:w="898" w:type="pct"/>
            <w:shd w:val="clear" w:color="auto" w:fill="auto"/>
            <w:vAlign w:val="center"/>
          </w:tcPr>
          <w:p>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用于组织学、病理学免疫组化制片过程中，确保在染色、冲洗等步骤中不脱落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87" w:hRule="atLeast"/>
        </w:trPr>
        <w:tc>
          <w:tcPr>
            <w:tcW w:w="391" w:type="pct"/>
            <w:shd w:val="clear" w:color="auto" w:fill="auto"/>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c>
          <w:tcPr>
            <w:tcW w:w="817" w:type="pct"/>
            <w:shd w:val="clear" w:color="auto" w:fill="auto"/>
            <w:vAlign w:val="center"/>
          </w:tcPr>
          <w:p>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显微镜盖玻片</w:t>
            </w:r>
          </w:p>
        </w:tc>
        <w:tc>
          <w:tcPr>
            <w:tcW w:w="2892" w:type="pct"/>
            <w:shd w:val="clear" w:color="auto" w:fill="auto"/>
            <w:vAlign w:val="center"/>
          </w:tcPr>
          <w:p>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显微镜盖玻片优质超白玻璃材质，高透光率，尺寸24*50mm，厚度0.13mm-0.17mm；</w:t>
            </w:r>
          </w:p>
          <w:p>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bookmarkStart w:id="7" w:name="_GoBack"/>
            <w:bookmarkEnd w:id="7"/>
            <w:r>
              <w:rPr>
                <w:rFonts w:hint="eastAsia" w:ascii="方正仿宋_GBK" w:hAnsi="方正仿宋_GBK" w:eastAsia="方正仿宋_GBK" w:cs="方正仿宋_GBK"/>
                <w:b/>
                <w:bCs/>
                <w:color w:val="auto"/>
                <w:sz w:val="24"/>
                <w:szCs w:val="24"/>
                <w:highlight w:val="none"/>
                <w:lang w:val="en-US" w:eastAsia="zh-CN"/>
              </w:rPr>
              <w:t>环保节能要求：符合相关国家要求及行业标准。</w:t>
            </w:r>
          </w:p>
        </w:tc>
        <w:tc>
          <w:tcPr>
            <w:tcW w:w="898" w:type="pct"/>
            <w:shd w:val="clear" w:color="auto" w:fill="auto"/>
            <w:vAlign w:val="center"/>
          </w:tcPr>
          <w:p>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default" w:ascii="方正仿宋_GBK" w:hAnsi="方正仿宋_GBK" w:eastAsia="方正仿宋_GBK" w:cs="方正仿宋_GBK"/>
                <w:b/>
                <w:bCs/>
                <w:sz w:val="24"/>
                <w:szCs w:val="24"/>
                <w:highlight w:val="none"/>
                <w:lang w:val="en-US" w:eastAsia="zh-CN"/>
              </w:rPr>
              <w:t>显微镜盖玻片</w:t>
            </w:r>
          </w:p>
        </w:tc>
      </w:tr>
    </w:tbl>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本项目招采3年单价。</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质保期维护保养费（含易损件更换）、资料装订及邮寄费、税费、保险费、验收检测费、培训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本项目合同期3年，成交供应商在接到成交通知后20日内与采购人签订采购合同和廉政购销协议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及联系方式，不得实施商业贿赂等不良行为。供应商应在合同签订前向采购人提供样品试用并提供厂家盖章的佐证材料供采购人核查。</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中选后，一般情况接采购人通知后5个工作日内完成送货，特殊情况24小时内完成送货。</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验收合格后按季度据实结算；付款时供应商提供发票、验收单、送货单等。</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按照采购招标文件对产品规格、性能等参数逐项验收。验收及使用中发现产品质量争议按照验收争议进行处理；验收争议时由采购人邀请第三方机构检测，费用由供应商承担。</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6.配套服务</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（1）生产日期要求：送货产品须为生产日期1年内的全新产品。</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（2）质保期限：产品质保期不少于3年，质保期内非人为损坏免费更换。</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（3）故障响应：产品出现任何故障，供应商应30分钟提供电话响应，4小时到达医院处置。</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（4）培训要求：产品投入使用前，应对具体使用人进行至少1次培训。</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（5）货源紧张时，供应商须优先保障采购人需求。</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7.违约责任</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供应商未按采购人要求时限送货，每次承担1000元违约金，超过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日，整改期限届满仍未完成的供应商每日支付合同总金额千分之三的违约金，超过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auto"/>
          <w:kern w:val="0"/>
          <w:sz w:val="32"/>
          <w:szCs w:val="32"/>
          <w:highlight w:val="none"/>
          <w:lang w:val="en-US" w:eastAsia="zh-CN"/>
        </w:rPr>
        <w:t>日未能完成整改，采购人有权解除合同，并要求供应商承担合同总额30%的违约金，已经付款的供应商应全款退还采购人已经支付的款项；</w:t>
      </w:r>
      <w:r>
        <w:rPr>
          <w:rFonts w:hint="eastAsia" w:ascii="方正仿宋_GBK" w:hAnsi="方正仿宋_GBK" w:eastAsia="方正仿宋_GBK" w:cs="方正仿宋_GBK"/>
          <w:b w:val="0"/>
          <w:bCs w:val="0"/>
          <w:color w:val="auto"/>
          <w:kern w:val="0"/>
          <w:sz w:val="32"/>
          <w:szCs w:val="32"/>
          <w:highlight w:val="none"/>
          <w:lang w:val="en-US" w:eastAsia="zh-CN"/>
        </w:rPr>
        <w:t>合同周期内供应商出现2次及以上违约送货行为，</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承担合同总额30%的违约金。未按配套服务要求提供服务的，供应商将承担200元/次的违约金。供应商产品质量问题，每次承担1000元违约金，同时承担赔偿责任。发生与产品质量相关的不良事件，除免费更换全批次产品外，每次扣罚产品金额两倍的违约金。</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或不良事件、产品故障问题供应商未及时响应造成严重后果等情形），应赔偿对采购人造成的直接和间接损失全额损失及承担相应法律责任。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8.合同终止情形</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出现不良事件；合同周期内供应商出现2次及以上违约送货行为；供应商廉洁违纪行为；供应商主动放弃等。</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9.中选标准</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10.其他要求</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按照法律法规相关规定。</w:t>
      </w:r>
    </w:p>
    <w:p>
      <w:pPr>
        <w:rPr>
          <w:rFonts w:hint="eastAsia" w:ascii="仿宋_GB2312" w:hAnsi="Arial" w:eastAsia="仿宋_GB2312" w:cstheme="minorBidi"/>
          <w:b/>
          <w:color w:val="auto"/>
          <w:kern w:val="2"/>
          <w:sz w:val="24"/>
          <w:szCs w:val="24"/>
          <w:highlight w:val="none"/>
          <w:lang w:val="en-US" w:eastAsia="zh-CN" w:bidi="ar-SA"/>
        </w:rPr>
      </w:pPr>
    </w:p>
    <w:p>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pPr>
        <w:jc w:val="center"/>
        <w:rPr>
          <w:rFonts w:ascii="方正小标宋_GBK" w:hAnsi="方正小标宋_GBK" w:eastAsia="方正小标宋_GBK" w:cs="方正小标宋_GBK"/>
          <w:sz w:val="40"/>
          <w:szCs w:val="40"/>
          <w:highlight w:val="none"/>
        </w:rPr>
      </w:pPr>
    </w:p>
    <w:p>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pPr>
        <w:ind w:firstLine="600" w:firstLineChars="200"/>
        <w:rPr>
          <w:rFonts w:ascii="微软雅黑" w:hAnsi="微软雅黑" w:eastAsia="微软雅黑" w:cs="微软雅黑"/>
          <w:sz w:val="30"/>
          <w:szCs w:val="30"/>
          <w:highlight w:val="none"/>
        </w:rPr>
      </w:pPr>
    </w:p>
    <w:p>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pPr>
        <w:spacing w:line="594" w:lineRule="exact"/>
        <w:ind w:firstLine="600" w:firstLineChars="200"/>
        <w:rPr>
          <w:rFonts w:hint="eastAsia" w:ascii="微软雅黑" w:hAnsi="微软雅黑" w:eastAsia="微软雅黑"/>
          <w:sz w:val="30"/>
          <w:szCs w:val="30"/>
          <w:highlight w:val="none"/>
        </w:rPr>
      </w:pPr>
    </w:p>
    <w:p>
      <w:pPr>
        <w:spacing w:line="594" w:lineRule="exact"/>
        <w:ind w:firstLine="600" w:firstLineChars="200"/>
        <w:rPr>
          <w:rFonts w:hint="eastAsia" w:ascii="微软雅黑" w:hAnsi="微软雅黑" w:eastAsia="微软雅黑"/>
          <w:sz w:val="30"/>
          <w:szCs w:val="30"/>
          <w:highlight w:val="none"/>
        </w:rPr>
      </w:pPr>
    </w:p>
    <w:p>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pPr>
        <w:spacing w:line="594" w:lineRule="exact"/>
        <w:ind w:firstLine="640" w:firstLineChars="200"/>
        <w:rPr>
          <w:rFonts w:hint="eastAsia" w:ascii="方正仿宋_GBK" w:eastAsia="方正仿宋_GBK"/>
          <w:sz w:val="32"/>
          <w:szCs w:val="32"/>
          <w:highlight w:val="none"/>
        </w:rPr>
      </w:pPr>
    </w:p>
    <w:p>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237057793"/>
      <w:bookmarkStart w:id="1" w:name="_Toc173677399"/>
      <w:bookmarkStart w:id="2" w:name="_Toc156196472"/>
      <w:bookmarkStart w:id="3" w:name="_Toc175017344"/>
      <w:bookmarkStart w:id="4" w:name="_Toc128229747"/>
      <w:bookmarkStart w:id="5" w:name="_Toc128229304"/>
      <w:bookmarkStart w:id="6" w:name="_Toc128014297"/>
    </w:p>
    <w:p>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highlight w:val="none"/>
        </w:rPr>
      </w:pPr>
    </w:p>
    <w:p>
      <w:pPr>
        <w:rPr>
          <w:rFonts w:hint="eastAsia" w:ascii="仿宋_GB2312" w:hAnsi="Arial" w:eastAsia="仿宋_GB2312" w:cstheme="minorBidi"/>
          <w:b/>
          <w:color w:val="auto"/>
          <w:kern w:val="2"/>
          <w:sz w:val="28"/>
          <w:szCs w:val="28"/>
          <w:highlight w:val="none"/>
          <w:lang w:val="en-US" w:eastAsia="zh-CN" w:bidi="ar-SA"/>
        </w:rPr>
      </w:pPr>
    </w:p>
    <w:p>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pPr>
        <w:pStyle w:val="9"/>
        <w:numPr>
          <w:ilvl w:val="0"/>
          <w:numId w:val="0"/>
        </w:numPr>
        <w:jc w:val="both"/>
        <w:rPr>
          <w:rFonts w:hint="default" w:eastAsia="方正仿宋_GBK"/>
          <w:highlight w:val="none"/>
          <w:lang w:val="en-US" w:eastAsia="zh-CN"/>
        </w:rPr>
      </w:pPr>
      <w:r>
        <w:rPr>
          <w:rFonts w:hint="eastAsia" w:ascii="方正仿宋_GBK" w:hAnsi="方正仿宋_GBK" w:eastAsia="方正仿宋_GBK" w:cs="方正仿宋_GBK"/>
          <w:sz w:val="32"/>
          <w:szCs w:val="32"/>
          <w:highlight w:val="none"/>
          <w:lang w:val="en-US" w:eastAsia="zh-CN"/>
        </w:rPr>
        <w:t>1. 愿意按照询价采购文件中的一切要求，提供本项目的产品，按产品单价报价为人民币大写:病理级载玻片</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元，粘附载玻片</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元，显微镜盖玻片</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p>
    <w:p>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 我方现提交的响应文件为：加盖鲜章纸质件。</w:t>
      </w:r>
    </w:p>
    <w:p>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pPr>
              <w:spacing w:line="300" w:lineRule="exact"/>
              <w:rPr>
                <w:rFonts w:ascii="微软雅黑" w:hAnsi="微软雅黑" w:eastAsia="微软雅黑" w:cs="微软雅黑"/>
                <w:sz w:val="24"/>
                <w:szCs w:val="24"/>
                <w:highlight w:val="none"/>
              </w:rPr>
            </w:pPr>
          </w:p>
        </w:tc>
        <w:tc>
          <w:tcPr>
            <w:tcW w:w="1831" w:type="dxa"/>
            <w:noWrap w:val="0"/>
            <w:vAlign w:val="top"/>
          </w:tcPr>
          <w:p>
            <w:pPr>
              <w:spacing w:line="300" w:lineRule="exact"/>
              <w:rPr>
                <w:rFonts w:ascii="微软雅黑" w:hAnsi="微软雅黑" w:eastAsia="微软雅黑" w:cs="微软雅黑"/>
                <w:sz w:val="24"/>
                <w:szCs w:val="24"/>
                <w:highlight w:val="none"/>
              </w:rPr>
            </w:pPr>
          </w:p>
        </w:tc>
        <w:tc>
          <w:tcPr>
            <w:tcW w:w="1590" w:type="dxa"/>
            <w:noWrap w:val="0"/>
            <w:vAlign w:val="top"/>
          </w:tcPr>
          <w:p>
            <w:pPr>
              <w:spacing w:line="300" w:lineRule="exact"/>
              <w:rPr>
                <w:rFonts w:ascii="微软雅黑" w:hAnsi="微软雅黑" w:eastAsia="微软雅黑" w:cs="微软雅黑"/>
                <w:sz w:val="24"/>
                <w:szCs w:val="24"/>
                <w:highlight w:val="none"/>
              </w:rPr>
            </w:pPr>
          </w:p>
        </w:tc>
        <w:tc>
          <w:tcPr>
            <w:tcW w:w="2249" w:type="dxa"/>
            <w:noWrap w:val="0"/>
            <w:vAlign w:val="top"/>
          </w:tcPr>
          <w:p>
            <w:pPr>
              <w:spacing w:line="300" w:lineRule="exact"/>
              <w:rPr>
                <w:rFonts w:ascii="微软雅黑" w:hAnsi="微软雅黑" w:eastAsia="微软雅黑" w:cs="微软雅黑"/>
                <w:sz w:val="24"/>
                <w:szCs w:val="24"/>
                <w:highlight w:val="none"/>
              </w:rPr>
            </w:pPr>
          </w:p>
        </w:tc>
        <w:tc>
          <w:tcPr>
            <w:tcW w:w="1275" w:type="dxa"/>
            <w:noWrap w:val="0"/>
            <w:vAlign w:val="top"/>
          </w:tcPr>
          <w:p>
            <w:pPr>
              <w:spacing w:line="300" w:lineRule="exact"/>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pPr>
              <w:spacing w:line="300" w:lineRule="exact"/>
              <w:rPr>
                <w:rFonts w:ascii="微软雅黑" w:hAnsi="微软雅黑" w:eastAsia="微软雅黑" w:cs="微软雅黑"/>
                <w:sz w:val="24"/>
                <w:szCs w:val="24"/>
                <w:highlight w:val="none"/>
              </w:rPr>
            </w:pPr>
          </w:p>
        </w:tc>
        <w:tc>
          <w:tcPr>
            <w:tcW w:w="1831" w:type="dxa"/>
            <w:noWrap w:val="0"/>
            <w:vAlign w:val="top"/>
          </w:tcPr>
          <w:p>
            <w:pPr>
              <w:spacing w:line="300" w:lineRule="exact"/>
              <w:rPr>
                <w:rFonts w:ascii="微软雅黑" w:hAnsi="微软雅黑" w:eastAsia="微软雅黑" w:cs="微软雅黑"/>
                <w:sz w:val="24"/>
                <w:szCs w:val="24"/>
                <w:highlight w:val="none"/>
              </w:rPr>
            </w:pPr>
          </w:p>
        </w:tc>
        <w:tc>
          <w:tcPr>
            <w:tcW w:w="1590" w:type="dxa"/>
            <w:noWrap w:val="0"/>
            <w:vAlign w:val="top"/>
          </w:tcPr>
          <w:p>
            <w:pPr>
              <w:spacing w:line="300" w:lineRule="exact"/>
              <w:rPr>
                <w:rFonts w:ascii="微软雅黑" w:hAnsi="微软雅黑" w:eastAsia="微软雅黑" w:cs="微软雅黑"/>
                <w:sz w:val="24"/>
                <w:szCs w:val="24"/>
                <w:highlight w:val="none"/>
              </w:rPr>
            </w:pPr>
          </w:p>
        </w:tc>
        <w:tc>
          <w:tcPr>
            <w:tcW w:w="2249" w:type="dxa"/>
            <w:noWrap w:val="0"/>
            <w:vAlign w:val="top"/>
          </w:tcPr>
          <w:p>
            <w:pPr>
              <w:spacing w:line="300" w:lineRule="exact"/>
              <w:rPr>
                <w:rFonts w:ascii="微软雅黑" w:hAnsi="微软雅黑" w:eastAsia="微软雅黑" w:cs="微软雅黑"/>
                <w:sz w:val="24"/>
                <w:szCs w:val="24"/>
                <w:highlight w:val="none"/>
              </w:rPr>
            </w:pPr>
          </w:p>
        </w:tc>
        <w:tc>
          <w:tcPr>
            <w:tcW w:w="1275" w:type="dxa"/>
            <w:noWrap w:val="0"/>
            <w:vAlign w:val="top"/>
          </w:tcPr>
          <w:p>
            <w:pPr>
              <w:spacing w:line="300" w:lineRule="exact"/>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pPr>
              <w:spacing w:line="300" w:lineRule="exact"/>
              <w:rPr>
                <w:rFonts w:ascii="微软雅黑" w:hAnsi="微软雅黑" w:eastAsia="微软雅黑" w:cs="微软雅黑"/>
                <w:sz w:val="24"/>
                <w:szCs w:val="24"/>
                <w:highlight w:val="none"/>
              </w:rPr>
            </w:pPr>
          </w:p>
        </w:tc>
        <w:tc>
          <w:tcPr>
            <w:tcW w:w="1831" w:type="dxa"/>
            <w:noWrap w:val="0"/>
            <w:vAlign w:val="top"/>
          </w:tcPr>
          <w:p>
            <w:pPr>
              <w:spacing w:line="300" w:lineRule="exact"/>
              <w:rPr>
                <w:rFonts w:ascii="微软雅黑" w:hAnsi="微软雅黑" w:eastAsia="微软雅黑" w:cs="微软雅黑"/>
                <w:sz w:val="24"/>
                <w:szCs w:val="24"/>
                <w:highlight w:val="none"/>
              </w:rPr>
            </w:pPr>
          </w:p>
        </w:tc>
        <w:tc>
          <w:tcPr>
            <w:tcW w:w="1590" w:type="dxa"/>
            <w:noWrap w:val="0"/>
            <w:vAlign w:val="top"/>
          </w:tcPr>
          <w:p>
            <w:pPr>
              <w:spacing w:line="300" w:lineRule="exact"/>
              <w:rPr>
                <w:rFonts w:ascii="微软雅黑" w:hAnsi="微软雅黑" w:eastAsia="微软雅黑" w:cs="微软雅黑"/>
                <w:sz w:val="24"/>
                <w:szCs w:val="24"/>
                <w:highlight w:val="none"/>
              </w:rPr>
            </w:pPr>
          </w:p>
        </w:tc>
        <w:tc>
          <w:tcPr>
            <w:tcW w:w="2249" w:type="dxa"/>
            <w:noWrap w:val="0"/>
            <w:vAlign w:val="top"/>
          </w:tcPr>
          <w:p>
            <w:pPr>
              <w:spacing w:line="300" w:lineRule="exact"/>
              <w:rPr>
                <w:rFonts w:ascii="微软雅黑" w:hAnsi="微软雅黑" w:eastAsia="微软雅黑" w:cs="微软雅黑"/>
                <w:sz w:val="24"/>
                <w:szCs w:val="24"/>
                <w:highlight w:val="none"/>
              </w:rPr>
            </w:pPr>
          </w:p>
        </w:tc>
        <w:tc>
          <w:tcPr>
            <w:tcW w:w="1275" w:type="dxa"/>
            <w:noWrap w:val="0"/>
            <w:vAlign w:val="top"/>
          </w:tcPr>
          <w:p>
            <w:pPr>
              <w:spacing w:line="300" w:lineRule="exact"/>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pPr>
              <w:spacing w:line="300" w:lineRule="exact"/>
              <w:rPr>
                <w:rFonts w:ascii="微软雅黑" w:hAnsi="微软雅黑" w:eastAsia="微软雅黑" w:cs="微软雅黑"/>
                <w:sz w:val="24"/>
                <w:szCs w:val="24"/>
                <w:highlight w:val="none"/>
              </w:rPr>
            </w:pPr>
          </w:p>
        </w:tc>
        <w:tc>
          <w:tcPr>
            <w:tcW w:w="1831" w:type="dxa"/>
            <w:noWrap w:val="0"/>
            <w:vAlign w:val="top"/>
          </w:tcPr>
          <w:p>
            <w:pPr>
              <w:spacing w:line="300" w:lineRule="exact"/>
              <w:rPr>
                <w:rFonts w:ascii="微软雅黑" w:hAnsi="微软雅黑" w:eastAsia="微软雅黑" w:cs="微软雅黑"/>
                <w:sz w:val="24"/>
                <w:szCs w:val="24"/>
                <w:highlight w:val="none"/>
              </w:rPr>
            </w:pPr>
          </w:p>
        </w:tc>
        <w:tc>
          <w:tcPr>
            <w:tcW w:w="1590" w:type="dxa"/>
            <w:noWrap w:val="0"/>
            <w:vAlign w:val="top"/>
          </w:tcPr>
          <w:p>
            <w:pPr>
              <w:spacing w:line="300" w:lineRule="exact"/>
              <w:rPr>
                <w:rFonts w:ascii="微软雅黑" w:hAnsi="微软雅黑" w:eastAsia="微软雅黑" w:cs="微软雅黑"/>
                <w:sz w:val="24"/>
                <w:szCs w:val="24"/>
                <w:highlight w:val="none"/>
              </w:rPr>
            </w:pPr>
          </w:p>
        </w:tc>
        <w:tc>
          <w:tcPr>
            <w:tcW w:w="2249" w:type="dxa"/>
            <w:noWrap w:val="0"/>
            <w:vAlign w:val="top"/>
          </w:tcPr>
          <w:p>
            <w:pPr>
              <w:spacing w:line="300" w:lineRule="exact"/>
              <w:rPr>
                <w:rFonts w:ascii="微软雅黑" w:hAnsi="微软雅黑" w:eastAsia="微软雅黑" w:cs="微软雅黑"/>
                <w:sz w:val="24"/>
                <w:szCs w:val="24"/>
                <w:highlight w:val="none"/>
              </w:rPr>
            </w:pPr>
          </w:p>
        </w:tc>
        <w:tc>
          <w:tcPr>
            <w:tcW w:w="1275" w:type="dxa"/>
            <w:noWrap w:val="0"/>
            <w:vAlign w:val="top"/>
          </w:tcPr>
          <w:p>
            <w:pPr>
              <w:spacing w:line="300" w:lineRule="exact"/>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pPr>
              <w:spacing w:line="300" w:lineRule="exact"/>
              <w:rPr>
                <w:rFonts w:ascii="微软雅黑" w:hAnsi="微软雅黑" w:eastAsia="微软雅黑" w:cs="微软雅黑"/>
                <w:sz w:val="24"/>
                <w:szCs w:val="24"/>
                <w:highlight w:val="none"/>
              </w:rPr>
            </w:pPr>
          </w:p>
        </w:tc>
        <w:tc>
          <w:tcPr>
            <w:tcW w:w="1831" w:type="dxa"/>
            <w:noWrap w:val="0"/>
            <w:vAlign w:val="top"/>
          </w:tcPr>
          <w:p>
            <w:pPr>
              <w:spacing w:line="300" w:lineRule="exact"/>
              <w:rPr>
                <w:rFonts w:ascii="微软雅黑" w:hAnsi="微软雅黑" w:eastAsia="微软雅黑" w:cs="微软雅黑"/>
                <w:sz w:val="24"/>
                <w:szCs w:val="24"/>
                <w:highlight w:val="none"/>
              </w:rPr>
            </w:pPr>
          </w:p>
        </w:tc>
        <w:tc>
          <w:tcPr>
            <w:tcW w:w="1590" w:type="dxa"/>
            <w:noWrap w:val="0"/>
            <w:vAlign w:val="top"/>
          </w:tcPr>
          <w:p>
            <w:pPr>
              <w:spacing w:line="300" w:lineRule="exact"/>
              <w:rPr>
                <w:rFonts w:ascii="微软雅黑" w:hAnsi="微软雅黑" w:eastAsia="微软雅黑" w:cs="微软雅黑"/>
                <w:sz w:val="24"/>
                <w:szCs w:val="24"/>
                <w:highlight w:val="none"/>
              </w:rPr>
            </w:pPr>
          </w:p>
        </w:tc>
        <w:tc>
          <w:tcPr>
            <w:tcW w:w="2249" w:type="dxa"/>
            <w:noWrap w:val="0"/>
            <w:vAlign w:val="top"/>
          </w:tcPr>
          <w:p>
            <w:pPr>
              <w:spacing w:line="300" w:lineRule="exact"/>
              <w:rPr>
                <w:rFonts w:ascii="微软雅黑" w:hAnsi="微软雅黑" w:eastAsia="微软雅黑" w:cs="微软雅黑"/>
                <w:sz w:val="24"/>
                <w:szCs w:val="24"/>
                <w:highlight w:val="none"/>
              </w:rPr>
            </w:pPr>
          </w:p>
        </w:tc>
        <w:tc>
          <w:tcPr>
            <w:tcW w:w="1275" w:type="dxa"/>
            <w:noWrap w:val="0"/>
            <w:vAlign w:val="top"/>
          </w:tcPr>
          <w:p>
            <w:pPr>
              <w:spacing w:line="300" w:lineRule="exact"/>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pPr>
              <w:spacing w:line="300" w:lineRule="exact"/>
              <w:rPr>
                <w:rFonts w:ascii="微软雅黑" w:hAnsi="微软雅黑" w:eastAsia="微软雅黑" w:cs="微软雅黑"/>
                <w:sz w:val="24"/>
                <w:szCs w:val="24"/>
                <w:highlight w:val="none"/>
              </w:rPr>
            </w:pPr>
          </w:p>
        </w:tc>
        <w:tc>
          <w:tcPr>
            <w:tcW w:w="1831" w:type="dxa"/>
            <w:noWrap w:val="0"/>
            <w:vAlign w:val="top"/>
          </w:tcPr>
          <w:p>
            <w:pPr>
              <w:spacing w:line="300" w:lineRule="exact"/>
              <w:rPr>
                <w:rFonts w:ascii="微软雅黑" w:hAnsi="微软雅黑" w:eastAsia="微软雅黑" w:cs="微软雅黑"/>
                <w:sz w:val="24"/>
                <w:szCs w:val="24"/>
                <w:highlight w:val="none"/>
              </w:rPr>
            </w:pPr>
          </w:p>
        </w:tc>
        <w:tc>
          <w:tcPr>
            <w:tcW w:w="1590" w:type="dxa"/>
            <w:noWrap w:val="0"/>
            <w:vAlign w:val="top"/>
          </w:tcPr>
          <w:p>
            <w:pPr>
              <w:spacing w:line="300" w:lineRule="exact"/>
              <w:rPr>
                <w:rFonts w:ascii="微软雅黑" w:hAnsi="微软雅黑" w:eastAsia="微软雅黑" w:cs="微软雅黑"/>
                <w:sz w:val="24"/>
                <w:szCs w:val="24"/>
                <w:highlight w:val="none"/>
              </w:rPr>
            </w:pPr>
          </w:p>
        </w:tc>
        <w:tc>
          <w:tcPr>
            <w:tcW w:w="2249" w:type="dxa"/>
            <w:noWrap w:val="0"/>
            <w:vAlign w:val="top"/>
          </w:tcPr>
          <w:p>
            <w:pPr>
              <w:spacing w:line="300" w:lineRule="exact"/>
              <w:rPr>
                <w:rFonts w:ascii="微软雅黑" w:hAnsi="微软雅黑" w:eastAsia="微软雅黑" w:cs="微软雅黑"/>
                <w:sz w:val="24"/>
                <w:szCs w:val="24"/>
                <w:highlight w:val="none"/>
              </w:rPr>
            </w:pPr>
          </w:p>
        </w:tc>
        <w:tc>
          <w:tcPr>
            <w:tcW w:w="1275" w:type="dxa"/>
            <w:noWrap w:val="0"/>
            <w:vAlign w:val="top"/>
          </w:tcPr>
          <w:p>
            <w:pPr>
              <w:spacing w:line="300" w:lineRule="exact"/>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pPr>
              <w:spacing w:line="300" w:lineRule="exact"/>
              <w:rPr>
                <w:rFonts w:ascii="微软雅黑" w:hAnsi="微软雅黑" w:eastAsia="微软雅黑" w:cs="微软雅黑"/>
                <w:sz w:val="24"/>
                <w:szCs w:val="24"/>
                <w:highlight w:val="none"/>
              </w:rPr>
            </w:pPr>
          </w:p>
        </w:tc>
        <w:tc>
          <w:tcPr>
            <w:tcW w:w="1590" w:type="dxa"/>
            <w:noWrap w:val="0"/>
            <w:vAlign w:val="top"/>
          </w:tcPr>
          <w:p>
            <w:pPr>
              <w:spacing w:line="300" w:lineRule="exact"/>
              <w:rPr>
                <w:rFonts w:ascii="微软雅黑" w:hAnsi="微软雅黑" w:eastAsia="微软雅黑" w:cs="微软雅黑"/>
                <w:sz w:val="24"/>
                <w:szCs w:val="24"/>
                <w:highlight w:val="none"/>
              </w:rPr>
            </w:pPr>
          </w:p>
        </w:tc>
        <w:tc>
          <w:tcPr>
            <w:tcW w:w="2249" w:type="dxa"/>
            <w:noWrap w:val="0"/>
            <w:vAlign w:val="top"/>
          </w:tcPr>
          <w:p>
            <w:pPr>
              <w:spacing w:line="300" w:lineRule="exact"/>
              <w:rPr>
                <w:rFonts w:ascii="微软雅黑" w:hAnsi="微软雅黑" w:eastAsia="微软雅黑" w:cs="微软雅黑"/>
                <w:sz w:val="24"/>
                <w:szCs w:val="24"/>
                <w:highlight w:val="none"/>
              </w:rPr>
            </w:pPr>
          </w:p>
        </w:tc>
        <w:tc>
          <w:tcPr>
            <w:tcW w:w="1275" w:type="dxa"/>
            <w:noWrap w:val="0"/>
            <w:vAlign w:val="top"/>
          </w:tcPr>
          <w:p>
            <w:pPr>
              <w:spacing w:line="300" w:lineRule="exact"/>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pPr>
              <w:spacing w:line="300" w:lineRule="exact"/>
              <w:rPr>
                <w:rFonts w:ascii="微软雅黑" w:hAnsi="微软雅黑" w:eastAsia="微软雅黑" w:cs="微软雅黑"/>
                <w:sz w:val="24"/>
                <w:szCs w:val="24"/>
                <w:highlight w:val="none"/>
              </w:rPr>
            </w:pPr>
          </w:p>
        </w:tc>
        <w:tc>
          <w:tcPr>
            <w:tcW w:w="1831" w:type="dxa"/>
            <w:noWrap w:val="0"/>
            <w:vAlign w:val="top"/>
          </w:tcPr>
          <w:p>
            <w:pPr>
              <w:spacing w:line="300" w:lineRule="exact"/>
              <w:rPr>
                <w:rFonts w:ascii="微软雅黑" w:hAnsi="微软雅黑" w:eastAsia="微软雅黑" w:cs="微软雅黑"/>
                <w:sz w:val="24"/>
                <w:szCs w:val="24"/>
                <w:highlight w:val="none"/>
              </w:rPr>
            </w:pPr>
          </w:p>
        </w:tc>
        <w:tc>
          <w:tcPr>
            <w:tcW w:w="1590" w:type="dxa"/>
            <w:noWrap w:val="0"/>
            <w:vAlign w:val="top"/>
          </w:tcPr>
          <w:p>
            <w:pPr>
              <w:spacing w:line="300" w:lineRule="exact"/>
              <w:rPr>
                <w:rFonts w:ascii="微软雅黑" w:hAnsi="微软雅黑" w:eastAsia="微软雅黑" w:cs="微软雅黑"/>
                <w:sz w:val="24"/>
                <w:szCs w:val="24"/>
                <w:highlight w:val="none"/>
              </w:rPr>
            </w:pPr>
          </w:p>
        </w:tc>
        <w:tc>
          <w:tcPr>
            <w:tcW w:w="2249" w:type="dxa"/>
            <w:noWrap w:val="0"/>
            <w:vAlign w:val="top"/>
          </w:tcPr>
          <w:p>
            <w:pPr>
              <w:spacing w:line="300" w:lineRule="exact"/>
              <w:rPr>
                <w:rFonts w:ascii="微软雅黑" w:hAnsi="微软雅黑" w:eastAsia="微软雅黑" w:cs="微软雅黑"/>
                <w:sz w:val="24"/>
                <w:szCs w:val="24"/>
                <w:highlight w:val="none"/>
              </w:rPr>
            </w:pPr>
          </w:p>
        </w:tc>
        <w:tc>
          <w:tcPr>
            <w:tcW w:w="1275" w:type="dxa"/>
            <w:noWrap w:val="0"/>
            <w:vAlign w:val="top"/>
          </w:tcPr>
          <w:p>
            <w:pPr>
              <w:spacing w:line="300" w:lineRule="exact"/>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pPr>
              <w:spacing w:line="300" w:lineRule="exact"/>
              <w:rPr>
                <w:rFonts w:ascii="微软雅黑" w:hAnsi="微软雅黑" w:eastAsia="微软雅黑" w:cs="微软雅黑"/>
                <w:sz w:val="24"/>
                <w:szCs w:val="24"/>
                <w:highlight w:val="none"/>
              </w:rPr>
            </w:pPr>
          </w:p>
        </w:tc>
        <w:tc>
          <w:tcPr>
            <w:tcW w:w="1831" w:type="dxa"/>
            <w:noWrap w:val="0"/>
            <w:vAlign w:val="top"/>
          </w:tcPr>
          <w:p>
            <w:pPr>
              <w:spacing w:line="300" w:lineRule="exact"/>
              <w:rPr>
                <w:rFonts w:ascii="微软雅黑" w:hAnsi="微软雅黑" w:eastAsia="微软雅黑" w:cs="微软雅黑"/>
                <w:sz w:val="24"/>
                <w:szCs w:val="24"/>
                <w:highlight w:val="none"/>
              </w:rPr>
            </w:pPr>
          </w:p>
        </w:tc>
        <w:tc>
          <w:tcPr>
            <w:tcW w:w="1590" w:type="dxa"/>
            <w:noWrap w:val="0"/>
            <w:vAlign w:val="top"/>
          </w:tcPr>
          <w:p>
            <w:pPr>
              <w:spacing w:line="300" w:lineRule="exact"/>
              <w:rPr>
                <w:rFonts w:ascii="微软雅黑" w:hAnsi="微软雅黑" w:eastAsia="微软雅黑" w:cs="微软雅黑"/>
                <w:sz w:val="24"/>
                <w:szCs w:val="24"/>
                <w:highlight w:val="none"/>
              </w:rPr>
            </w:pPr>
          </w:p>
        </w:tc>
        <w:tc>
          <w:tcPr>
            <w:tcW w:w="2249" w:type="dxa"/>
            <w:noWrap w:val="0"/>
            <w:vAlign w:val="top"/>
          </w:tcPr>
          <w:p>
            <w:pPr>
              <w:spacing w:line="300" w:lineRule="exact"/>
              <w:rPr>
                <w:rFonts w:ascii="微软雅黑" w:hAnsi="微软雅黑" w:eastAsia="微软雅黑" w:cs="微软雅黑"/>
                <w:sz w:val="24"/>
                <w:szCs w:val="24"/>
                <w:highlight w:val="none"/>
              </w:rPr>
            </w:pPr>
          </w:p>
        </w:tc>
        <w:tc>
          <w:tcPr>
            <w:tcW w:w="1275" w:type="dxa"/>
            <w:noWrap w:val="0"/>
            <w:vAlign w:val="top"/>
          </w:tcPr>
          <w:p>
            <w:pPr>
              <w:spacing w:line="300" w:lineRule="exact"/>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pPr>
              <w:spacing w:line="300" w:lineRule="exact"/>
              <w:rPr>
                <w:rFonts w:ascii="微软雅黑" w:hAnsi="微软雅黑" w:eastAsia="微软雅黑" w:cs="微软雅黑"/>
                <w:sz w:val="24"/>
                <w:szCs w:val="24"/>
                <w:highlight w:val="none"/>
              </w:rPr>
            </w:pPr>
          </w:p>
        </w:tc>
        <w:tc>
          <w:tcPr>
            <w:tcW w:w="1831" w:type="dxa"/>
            <w:noWrap w:val="0"/>
            <w:vAlign w:val="top"/>
          </w:tcPr>
          <w:p>
            <w:pPr>
              <w:spacing w:line="300" w:lineRule="exact"/>
              <w:rPr>
                <w:rFonts w:ascii="微软雅黑" w:hAnsi="微软雅黑" w:eastAsia="微软雅黑" w:cs="微软雅黑"/>
                <w:sz w:val="24"/>
                <w:szCs w:val="24"/>
                <w:highlight w:val="none"/>
              </w:rPr>
            </w:pPr>
          </w:p>
        </w:tc>
        <w:tc>
          <w:tcPr>
            <w:tcW w:w="1590" w:type="dxa"/>
            <w:noWrap w:val="0"/>
            <w:vAlign w:val="top"/>
          </w:tcPr>
          <w:p>
            <w:pPr>
              <w:spacing w:line="300" w:lineRule="exact"/>
              <w:rPr>
                <w:rFonts w:ascii="微软雅黑" w:hAnsi="微软雅黑" w:eastAsia="微软雅黑" w:cs="微软雅黑"/>
                <w:sz w:val="24"/>
                <w:szCs w:val="24"/>
                <w:highlight w:val="none"/>
              </w:rPr>
            </w:pPr>
          </w:p>
        </w:tc>
        <w:tc>
          <w:tcPr>
            <w:tcW w:w="2249" w:type="dxa"/>
            <w:noWrap w:val="0"/>
            <w:vAlign w:val="top"/>
          </w:tcPr>
          <w:p>
            <w:pPr>
              <w:spacing w:line="300" w:lineRule="exact"/>
              <w:rPr>
                <w:rFonts w:ascii="微软雅黑" w:hAnsi="微软雅黑" w:eastAsia="微软雅黑" w:cs="微软雅黑"/>
                <w:sz w:val="24"/>
                <w:szCs w:val="24"/>
                <w:highlight w:val="none"/>
              </w:rPr>
            </w:pPr>
          </w:p>
        </w:tc>
        <w:tc>
          <w:tcPr>
            <w:tcW w:w="1275" w:type="dxa"/>
            <w:noWrap w:val="0"/>
            <w:vAlign w:val="top"/>
          </w:tcPr>
          <w:p>
            <w:pPr>
              <w:spacing w:line="300" w:lineRule="exact"/>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pPr>
              <w:spacing w:line="300" w:lineRule="exact"/>
              <w:rPr>
                <w:rFonts w:ascii="微软雅黑" w:hAnsi="微软雅黑" w:eastAsia="微软雅黑" w:cs="微软雅黑"/>
                <w:sz w:val="24"/>
                <w:szCs w:val="24"/>
                <w:highlight w:val="none"/>
              </w:rPr>
            </w:pPr>
          </w:p>
        </w:tc>
        <w:tc>
          <w:tcPr>
            <w:tcW w:w="1831" w:type="dxa"/>
            <w:noWrap w:val="0"/>
            <w:vAlign w:val="top"/>
          </w:tcPr>
          <w:p>
            <w:pPr>
              <w:spacing w:line="300" w:lineRule="exact"/>
              <w:rPr>
                <w:rFonts w:ascii="微软雅黑" w:hAnsi="微软雅黑" w:eastAsia="微软雅黑" w:cs="微软雅黑"/>
                <w:sz w:val="24"/>
                <w:szCs w:val="24"/>
                <w:highlight w:val="none"/>
              </w:rPr>
            </w:pPr>
          </w:p>
        </w:tc>
        <w:tc>
          <w:tcPr>
            <w:tcW w:w="1590" w:type="dxa"/>
            <w:noWrap w:val="0"/>
            <w:vAlign w:val="top"/>
          </w:tcPr>
          <w:p>
            <w:pPr>
              <w:spacing w:line="300" w:lineRule="exact"/>
              <w:rPr>
                <w:rFonts w:ascii="微软雅黑" w:hAnsi="微软雅黑" w:eastAsia="微软雅黑" w:cs="微软雅黑"/>
                <w:sz w:val="24"/>
                <w:szCs w:val="24"/>
                <w:highlight w:val="none"/>
              </w:rPr>
            </w:pPr>
          </w:p>
        </w:tc>
        <w:tc>
          <w:tcPr>
            <w:tcW w:w="2249" w:type="dxa"/>
            <w:noWrap w:val="0"/>
            <w:vAlign w:val="top"/>
          </w:tcPr>
          <w:p>
            <w:pPr>
              <w:spacing w:line="300" w:lineRule="exact"/>
              <w:rPr>
                <w:rFonts w:ascii="微软雅黑" w:hAnsi="微软雅黑" w:eastAsia="微软雅黑" w:cs="微软雅黑"/>
                <w:sz w:val="24"/>
                <w:szCs w:val="24"/>
                <w:highlight w:val="none"/>
              </w:rPr>
            </w:pPr>
          </w:p>
        </w:tc>
        <w:tc>
          <w:tcPr>
            <w:tcW w:w="1275" w:type="dxa"/>
            <w:noWrap w:val="0"/>
            <w:vAlign w:val="top"/>
          </w:tcPr>
          <w:p>
            <w:pPr>
              <w:spacing w:line="300" w:lineRule="exact"/>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pPr>
              <w:spacing w:line="300" w:lineRule="exact"/>
              <w:rPr>
                <w:rFonts w:ascii="微软雅黑" w:hAnsi="微软雅黑" w:eastAsia="微软雅黑" w:cs="微软雅黑"/>
                <w:sz w:val="24"/>
                <w:szCs w:val="24"/>
                <w:highlight w:val="none"/>
              </w:rPr>
            </w:pPr>
          </w:p>
        </w:tc>
      </w:tr>
    </w:tbl>
    <w:p>
      <w:pPr>
        <w:pStyle w:val="11"/>
        <w:ind w:firstLine="0"/>
        <w:rPr>
          <w:rFonts w:hint="eastAsia"/>
          <w:highlight w:val="none"/>
        </w:rPr>
      </w:pPr>
    </w:p>
    <w:p>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pPr>
        <w:spacing w:line="600" w:lineRule="exact"/>
        <w:ind w:firstLine="556" w:firstLineChars="200"/>
        <w:rPr>
          <w:rFonts w:ascii="微软雅黑" w:hAnsi="微软雅黑" w:eastAsia="微软雅黑" w:cs="微软雅黑"/>
          <w:sz w:val="30"/>
          <w:szCs w:val="30"/>
          <w:highlight w:val="none"/>
        </w:rPr>
      </w:pPr>
    </w:p>
    <w:p>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pPr>
        <w:rPr>
          <w:rFonts w:hint="eastAsia" w:ascii="微软雅黑" w:hAnsi="微软雅黑" w:eastAsia="微软雅黑"/>
          <w:b/>
          <w:bCs/>
          <w:sz w:val="32"/>
          <w:szCs w:val="32"/>
          <w:highlight w:val="none"/>
        </w:rPr>
      </w:pPr>
    </w:p>
    <w:p>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highlight w:val="none"/>
              </w:rPr>
            </w:pPr>
          </w:p>
        </w:tc>
      </w:tr>
    </w:tbl>
    <w:p>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pPr>
        <w:numPr>
          <w:ilvl w:val="0"/>
          <w:numId w:val="3"/>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pPr>
        <w:numPr>
          <w:ilvl w:val="0"/>
          <w:numId w:val="3"/>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highlight w:val="none"/>
              </w:rPr>
            </w:pPr>
          </w:p>
        </w:tc>
      </w:tr>
    </w:tbl>
    <w:p>
      <w:pPr>
        <w:spacing w:line="594" w:lineRule="exact"/>
        <w:ind w:firstLine="556" w:firstLineChars="200"/>
        <w:rPr>
          <w:rFonts w:hint="eastAsia" w:ascii="微软雅黑" w:hAnsi="微软雅黑" w:eastAsia="微软雅黑"/>
          <w:sz w:val="30"/>
          <w:szCs w:val="30"/>
          <w:highlight w:val="none"/>
        </w:rPr>
      </w:pPr>
    </w:p>
    <w:p>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pPr>
        <w:rPr>
          <w:rFonts w:hint="eastAsia" w:ascii="仿宋_GB2312" w:eastAsia="仿宋_GB2312" w:cs="宋体"/>
          <w:color w:val="auto"/>
          <w:sz w:val="32"/>
          <w:szCs w:val="32"/>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rPr>
          <w:rFonts w:hint="eastAsia" w:ascii="仿宋_GB2312" w:hAnsi="宋体" w:eastAsia="仿宋_GB2312"/>
          <w:b/>
          <w:snapToGrid w:val="0"/>
          <w:color w:val="auto"/>
          <w:kern w:val="0"/>
          <w:sz w:val="40"/>
          <w:szCs w:val="28"/>
          <w:highlight w:val="none"/>
          <w:lang w:val="en-US" w:eastAsia="zh-CN"/>
        </w:rPr>
      </w:pPr>
    </w:p>
    <w:p>
      <w:pPr>
        <w:pStyle w:val="5"/>
        <w:jc w:val="both"/>
        <w:rPr>
          <w:rFonts w:hint="eastAsia" w:ascii="方正仿宋_GBK" w:eastAsia="方正仿宋_GBK"/>
          <w:sz w:val="32"/>
          <w:szCs w:val="32"/>
          <w:highlight w:val="none"/>
          <w:lang w:val="en-US" w:eastAsia="zh-CN"/>
        </w:rPr>
      </w:pPr>
    </w:p>
    <w:p>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pPr>
        <w:rPr>
          <w:rFonts w:hint="eastAsia" w:ascii="仿宋_GB2312" w:hAnsi="宋体" w:eastAsia="仿宋_GB2312"/>
          <w:sz w:val="24"/>
          <w:highlight w:val="none"/>
        </w:rPr>
      </w:pPr>
      <w:r>
        <w:rPr>
          <w:rFonts w:hint="eastAsia" w:ascii="仿宋_GB2312" w:hAnsi="宋体" w:eastAsia="仿宋_GB2312"/>
          <w:sz w:val="24"/>
          <w:highlight w:val="none"/>
        </w:rPr>
        <w:br w:type="page"/>
      </w:r>
    </w:p>
    <w:p>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0F16A52"/>
    <w:rsid w:val="014A6652"/>
    <w:rsid w:val="015B6D6E"/>
    <w:rsid w:val="03CE68FB"/>
    <w:rsid w:val="041961A8"/>
    <w:rsid w:val="04C70F47"/>
    <w:rsid w:val="04FF037E"/>
    <w:rsid w:val="056E5276"/>
    <w:rsid w:val="06FB539B"/>
    <w:rsid w:val="07F82B6D"/>
    <w:rsid w:val="08BF2007"/>
    <w:rsid w:val="0B993AA9"/>
    <w:rsid w:val="0C872834"/>
    <w:rsid w:val="0C974041"/>
    <w:rsid w:val="0CE64C8D"/>
    <w:rsid w:val="0E440BB0"/>
    <w:rsid w:val="0E6637FD"/>
    <w:rsid w:val="0E6753E5"/>
    <w:rsid w:val="0E9F1F75"/>
    <w:rsid w:val="0EAE2BD9"/>
    <w:rsid w:val="0F4D0AAA"/>
    <w:rsid w:val="0F8419BC"/>
    <w:rsid w:val="0F851480"/>
    <w:rsid w:val="0F9718DF"/>
    <w:rsid w:val="0FD01451"/>
    <w:rsid w:val="116E3FA7"/>
    <w:rsid w:val="122D0B62"/>
    <w:rsid w:val="12E91297"/>
    <w:rsid w:val="133D5E0A"/>
    <w:rsid w:val="153C16E7"/>
    <w:rsid w:val="15D4217A"/>
    <w:rsid w:val="18EC242C"/>
    <w:rsid w:val="1922346A"/>
    <w:rsid w:val="1AAE2C67"/>
    <w:rsid w:val="1AF86BE0"/>
    <w:rsid w:val="1B3306B6"/>
    <w:rsid w:val="1B7C5E2D"/>
    <w:rsid w:val="1BDE0896"/>
    <w:rsid w:val="1C1979BC"/>
    <w:rsid w:val="1CE4012E"/>
    <w:rsid w:val="1CF00EFC"/>
    <w:rsid w:val="1E852914"/>
    <w:rsid w:val="1F2F00AB"/>
    <w:rsid w:val="2027068C"/>
    <w:rsid w:val="205210D9"/>
    <w:rsid w:val="20746E51"/>
    <w:rsid w:val="21426D4A"/>
    <w:rsid w:val="215F0650"/>
    <w:rsid w:val="233D75DC"/>
    <w:rsid w:val="236757CC"/>
    <w:rsid w:val="23FB11F4"/>
    <w:rsid w:val="25370886"/>
    <w:rsid w:val="28256D6A"/>
    <w:rsid w:val="28275AF0"/>
    <w:rsid w:val="29AE2A56"/>
    <w:rsid w:val="2C3529EE"/>
    <w:rsid w:val="2CCA628B"/>
    <w:rsid w:val="2F2F3117"/>
    <w:rsid w:val="2FC44243"/>
    <w:rsid w:val="30A34889"/>
    <w:rsid w:val="31092EA8"/>
    <w:rsid w:val="31B12793"/>
    <w:rsid w:val="33FB61AD"/>
    <w:rsid w:val="342C6BC9"/>
    <w:rsid w:val="35761799"/>
    <w:rsid w:val="359B4383"/>
    <w:rsid w:val="360845B7"/>
    <w:rsid w:val="36ED77AA"/>
    <w:rsid w:val="376E6279"/>
    <w:rsid w:val="38A14340"/>
    <w:rsid w:val="396A2364"/>
    <w:rsid w:val="3A6A181A"/>
    <w:rsid w:val="3A800389"/>
    <w:rsid w:val="3D485EC4"/>
    <w:rsid w:val="3D8263F7"/>
    <w:rsid w:val="3DE758A5"/>
    <w:rsid w:val="3E490B2A"/>
    <w:rsid w:val="3F5C6F82"/>
    <w:rsid w:val="3F7A35A1"/>
    <w:rsid w:val="40507E8F"/>
    <w:rsid w:val="40611EDD"/>
    <w:rsid w:val="41593545"/>
    <w:rsid w:val="44C5770F"/>
    <w:rsid w:val="44EF71C4"/>
    <w:rsid w:val="46F74436"/>
    <w:rsid w:val="474B1D32"/>
    <w:rsid w:val="47571860"/>
    <w:rsid w:val="475D7492"/>
    <w:rsid w:val="482D6FF9"/>
    <w:rsid w:val="48832656"/>
    <w:rsid w:val="496140CE"/>
    <w:rsid w:val="4AE139DB"/>
    <w:rsid w:val="4B2941E0"/>
    <w:rsid w:val="4BDB0A24"/>
    <w:rsid w:val="4C192469"/>
    <w:rsid w:val="4C31315D"/>
    <w:rsid w:val="4F6D75ED"/>
    <w:rsid w:val="51352B6B"/>
    <w:rsid w:val="51A60F63"/>
    <w:rsid w:val="53A17F68"/>
    <w:rsid w:val="53DB6C22"/>
    <w:rsid w:val="53FB2F26"/>
    <w:rsid w:val="54B6568B"/>
    <w:rsid w:val="55085A60"/>
    <w:rsid w:val="55BB5978"/>
    <w:rsid w:val="5899504E"/>
    <w:rsid w:val="59343196"/>
    <w:rsid w:val="599E0097"/>
    <w:rsid w:val="5ADB7D78"/>
    <w:rsid w:val="5BB04DF0"/>
    <w:rsid w:val="5D6C0A93"/>
    <w:rsid w:val="5D915A0E"/>
    <w:rsid w:val="5DBD061A"/>
    <w:rsid w:val="5E932E93"/>
    <w:rsid w:val="5FA4498B"/>
    <w:rsid w:val="60480506"/>
    <w:rsid w:val="60643E84"/>
    <w:rsid w:val="61130716"/>
    <w:rsid w:val="61143219"/>
    <w:rsid w:val="61707CCC"/>
    <w:rsid w:val="61A6052D"/>
    <w:rsid w:val="623E37BE"/>
    <w:rsid w:val="626B6216"/>
    <w:rsid w:val="627E3805"/>
    <w:rsid w:val="63814C5E"/>
    <w:rsid w:val="63FA2F2B"/>
    <w:rsid w:val="64077B7B"/>
    <w:rsid w:val="641D2F42"/>
    <w:rsid w:val="651C3DE1"/>
    <w:rsid w:val="66A178F0"/>
    <w:rsid w:val="67CF5844"/>
    <w:rsid w:val="685314B5"/>
    <w:rsid w:val="685968A7"/>
    <w:rsid w:val="69841E39"/>
    <w:rsid w:val="69D01878"/>
    <w:rsid w:val="6A1F4430"/>
    <w:rsid w:val="6B247663"/>
    <w:rsid w:val="6D1F523E"/>
    <w:rsid w:val="6D38732A"/>
    <w:rsid w:val="6DD05A39"/>
    <w:rsid w:val="6EC6360F"/>
    <w:rsid w:val="6EE24C47"/>
    <w:rsid w:val="6FB940CF"/>
    <w:rsid w:val="704D7FCB"/>
    <w:rsid w:val="707A010D"/>
    <w:rsid w:val="712B71E9"/>
    <w:rsid w:val="713118C3"/>
    <w:rsid w:val="71C02C3F"/>
    <w:rsid w:val="72BB5C94"/>
    <w:rsid w:val="72FB7C35"/>
    <w:rsid w:val="732B3BA9"/>
    <w:rsid w:val="74664EBC"/>
    <w:rsid w:val="748E4735"/>
    <w:rsid w:val="74A2126A"/>
    <w:rsid w:val="74EA3555"/>
    <w:rsid w:val="74EF556E"/>
    <w:rsid w:val="761A5C47"/>
    <w:rsid w:val="76981E32"/>
    <w:rsid w:val="777A05E8"/>
    <w:rsid w:val="77DC750A"/>
    <w:rsid w:val="77FA34D6"/>
    <w:rsid w:val="78024143"/>
    <w:rsid w:val="78F54CD1"/>
    <w:rsid w:val="799B64FC"/>
    <w:rsid w:val="7AF0174A"/>
    <w:rsid w:val="7B5C1973"/>
    <w:rsid w:val="7BDE27F0"/>
    <w:rsid w:val="7C6F2CF1"/>
    <w:rsid w:val="7CB244A3"/>
    <w:rsid w:val="7E8C71A6"/>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6544</Words>
  <Characters>6829</Characters>
  <Lines>0</Lines>
  <Paragraphs>0</Paragraphs>
  <TotalTime>41</TotalTime>
  <ScaleCrop>false</ScaleCrop>
  <LinksUpToDate>false</LinksUpToDate>
  <CharactersWithSpaces>7544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2025-11-06T02:54:14Z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05E88E6EEDA74E16A4242236AD3A3051_13</vt:lpwstr>
  </property>
  <property fmtid="{D5CDD505-2E9C-101B-9397-08002B2CF9AE}" pid="4" name="KSOTemplateDocerSaveRecord">
    <vt:lpwstr>eyJoZGlkIjoiNzdkNTM4MTkwYTE0Yjk0Y2Y4MjVlZDcwOGViZTQwYjIiLCJ1c2VySWQiOiIxMTc2NDE1MTk0In0=</vt:lpwstr>
  </property>
</Properties>
</file>