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项目名称：痉挛肌低频治疗仪</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2DDD6922">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41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7"/>
        <w:gridCol w:w="3496"/>
        <w:gridCol w:w="1097"/>
        <w:gridCol w:w="1172"/>
        <w:gridCol w:w="1785"/>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4"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07"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30"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71"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1025"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限价（元/台）</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4"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07" w:type="pct"/>
            <w:vAlign w:val="center"/>
          </w:tcPr>
          <w:p w14:paraId="5F997200">
            <w:pPr>
              <w:jc w:val="center"/>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痉挛肌低频治疗仪</w:t>
            </w:r>
          </w:p>
        </w:tc>
        <w:tc>
          <w:tcPr>
            <w:tcW w:w="630"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671"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1025"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74"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25"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60000</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none"/>
          <w:lang w:val="en-US" w:eastAsia="zh-CN"/>
        </w:rPr>
        <w:t>以下每条参数均应提供佐证材料，否则为无效响应</w:t>
      </w:r>
      <w:r>
        <w:rPr>
          <w:rFonts w:hint="eastAsia" w:ascii="方正仿宋_GBK" w:hAnsi="方正仿宋_GBK" w:eastAsia="方正仿宋_GBK" w:cs="方正仿宋_GBK"/>
          <w:b/>
          <w:bCs/>
          <w:sz w:val="28"/>
          <w:szCs w:val="28"/>
          <w:lang w:val="en-US" w:eastAsia="zh-CN"/>
        </w:rPr>
        <w:t>)</w:t>
      </w:r>
    </w:p>
    <w:p w14:paraId="4D2F26D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1.台式机型，≥7英寸彩色触摸屏加选择编码器显示操作；</w:t>
      </w:r>
    </w:p>
    <w:p w14:paraId="0E752AB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2.具有四组针插式电极输出；</w:t>
      </w:r>
    </w:p>
    <w:p w14:paraId="5263A65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3.时间设定：时间范围为0～99min可调，单步长1min；</w:t>
      </w:r>
    </w:p>
    <w:p w14:paraId="0393ABC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4.定时提醒：定时时间到后有声音提示功能；</w:t>
      </w:r>
    </w:p>
    <w:p w14:paraId="7F05AB5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5.输出波形：每通道包含Ⅰ、Ⅱ两组输出，输出波形为方波与指数波的组合波；</w:t>
      </w:r>
    </w:p>
    <w:p w14:paraId="39C26C9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6.处方选择：治疗仪具有≥20个处方；</w:t>
      </w:r>
    </w:p>
    <w:p w14:paraId="4DE52A5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7.每台设备主要配置：主机1台、电源线1根、电疗线1套、电极片1套</w:t>
      </w:r>
      <w:r>
        <w:rPr>
          <w:rFonts w:hint="default" w:ascii="方正仿宋_GBK" w:hAnsi="方正仿宋_GBK" w:eastAsia="方正仿宋_GBK" w:cs="方正仿宋_GBK"/>
          <w:color w:val="auto"/>
          <w:kern w:val="0"/>
          <w:sz w:val="28"/>
          <w:szCs w:val="28"/>
          <w:lang w:val="en-US" w:eastAsia="zh-CN"/>
        </w:rPr>
        <w:t>。</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60000元。供应商报价为人民币报价，应包含：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10个工作日内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bookmarkStart w:id="0" w:name="_GoBack"/>
      <w:bookmarkEnd w:id="0"/>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（1）设备质保期不低于5年，产品有任何质量问题，供应商应30分钟提供电话响应，4小时来院处置，未及时响应将承担违约责任。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12BCAF1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6FA2741">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22B6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78379600">
      <w:pPr>
        <w:rPr>
          <w:rFonts w:hint="eastAsia" w:ascii="仿宋_GB2312" w:hAnsi="Arial" w:eastAsia="仿宋_GB2312" w:cstheme="minorBidi"/>
          <w:b/>
          <w:color w:val="auto"/>
          <w:kern w:val="2"/>
          <w:sz w:val="24"/>
          <w:szCs w:val="24"/>
          <w:lang w:val="en-US" w:eastAsia="zh-CN" w:bidi="ar-SA"/>
        </w:rPr>
      </w:pPr>
    </w:p>
    <w:p w14:paraId="268CD92F">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1361CE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1638F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485B3E2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48F0DF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C5AEE2B">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74"/>
        <w:gridCol w:w="2421"/>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完成时限</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验收</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配套服务</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违约责任</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r w14:paraId="23B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B1110B4">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FB5C0C">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FE39CA2">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BA4F04B">
            <w:pPr>
              <w:spacing w:line="594" w:lineRule="exact"/>
              <w:ind w:firstLine="556" w:firstLineChars="200"/>
              <w:rPr>
                <w:rFonts w:hint="eastAsia" w:ascii="微软雅黑" w:hAnsi="微软雅黑" w:eastAsia="微软雅黑"/>
                <w:sz w:val="30"/>
                <w:szCs w:val="30"/>
              </w:rPr>
            </w:pPr>
          </w:p>
        </w:tc>
      </w:tr>
    </w:tbl>
    <w:p w14:paraId="1E4F5749">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62A15F9D">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48DEC6A7">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233FA201">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2BDC9683">
      <w:pPr>
        <w:pStyle w:val="6"/>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59C2A073">
      <w:pPr>
        <w:pStyle w:val="2"/>
        <w:numPr>
          <w:ilvl w:val="4"/>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5212DAC"/>
    <w:rsid w:val="056E5276"/>
    <w:rsid w:val="06FB539B"/>
    <w:rsid w:val="07F82B6D"/>
    <w:rsid w:val="0C872834"/>
    <w:rsid w:val="0C974041"/>
    <w:rsid w:val="0CE64C8D"/>
    <w:rsid w:val="0DC82D83"/>
    <w:rsid w:val="0FD01451"/>
    <w:rsid w:val="122D0B62"/>
    <w:rsid w:val="12586ED9"/>
    <w:rsid w:val="133D5E0A"/>
    <w:rsid w:val="17812CB3"/>
    <w:rsid w:val="1922346A"/>
    <w:rsid w:val="19E420C7"/>
    <w:rsid w:val="1A4B64EA"/>
    <w:rsid w:val="1AAE2C67"/>
    <w:rsid w:val="1AF86BE0"/>
    <w:rsid w:val="1B3306B6"/>
    <w:rsid w:val="1BDE0896"/>
    <w:rsid w:val="1CF00EFC"/>
    <w:rsid w:val="1E2702D2"/>
    <w:rsid w:val="20813775"/>
    <w:rsid w:val="20D0616C"/>
    <w:rsid w:val="21426D4A"/>
    <w:rsid w:val="23595B43"/>
    <w:rsid w:val="236757CC"/>
    <w:rsid w:val="252C3C8F"/>
    <w:rsid w:val="293430F8"/>
    <w:rsid w:val="2C3529EE"/>
    <w:rsid w:val="2F9B59C5"/>
    <w:rsid w:val="2FC44243"/>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DBE733A"/>
    <w:rsid w:val="3F1B1432"/>
    <w:rsid w:val="41291BCA"/>
    <w:rsid w:val="44182362"/>
    <w:rsid w:val="44431A29"/>
    <w:rsid w:val="44C5770F"/>
    <w:rsid w:val="44EF71C4"/>
    <w:rsid w:val="475D7492"/>
    <w:rsid w:val="482D6FF9"/>
    <w:rsid w:val="496140CE"/>
    <w:rsid w:val="4A54660D"/>
    <w:rsid w:val="4ADC6579"/>
    <w:rsid w:val="4AE139DB"/>
    <w:rsid w:val="4BDB0A24"/>
    <w:rsid w:val="4C31315D"/>
    <w:rsid w:val="4CAD2133"/>
    <w:rsid w:val="4CF578A9"/>
    <w:rsid w:val="4D3C51FF"/>
    <w:rsid w:val="4E42161A"/>
    <w:rsid w:val="4E4230CD"/>
    <w:rsid w:val="4F391F54"/>
    <w:rsid w:val="4F55367B"/>
    <w:rsid w:val="4F6D75ED"/>
    <w:rsid w:val="4FF80EFA"/>
    <w:rsid w:val="50AA1DA8"/>
    <w:rsid w:val="51352B6B"/>
    <w:rsid w:val="53A17F68"/>
    <w:rsid w:val="53DB6C22"/>
    <w:rsid w:val="54EA606D"/>
    <w:rsid w:val="5727153F"/>
    <w:rsid w:val="589F44FC"/>
    <w:rsid w:val="5A23530B"/>
    <w:rsid w:val="5E932E93"/>
    <w:rsid w:val="5EEB1220"/>
    <w:rsid w:val="5FA4498B"/>
    <w:rsid w:val="60C7505C"/>
    <w:rsid w:val="61130716"/>
    <w:rsid w:val="61143219"/>
    <w:rsid w:val="61707CCC"/>
    <w:rsid w:val="61CB0404"/>
    <w:rsid w:val="626B6216"/>
    <w:rsid w:val="62B23021"/>
    <w:rsid w:val="62B67B8B"/>
    <w:rsid w:val="6345469F"/>
    <w:rsid w:val="64AD4E34"/>
    <w:rsid w:val="668F5CC4"/>
    <w:rsid w:val="67CF5844"/>
    <w:rsid w:val="69D01878"/>
    <w:rsid w:val="6A1F4430"/>
    <w:rsid w:val="6D38732A"/>
    <w:rsid w:val="6DD05A39"/>
    <w:rsid w:val="6EC6360F"/>
    <w:rsid w:val="6FB23BBA"/>
    <w:rsid w:val="713118C3"/>
    <w:rsid w:val="71C02C3F"/>
    <w:rsid w:val="720677C8"/>
    <w:rsid w:val="72BB5C94"/>
    <w:rsid w:val="732B3BA9"/>
    <w:rsid w:val="753C41E7"/>
    <w:rsid w:val="770E4D00"/>
    <w:rsid w:val="78CF68D0"/>
    <w:rsid w:val="7AF0174A"/>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5630</Words>
  <Characters>5920</Characters>
  <Lines>0</Lines>
  <Paragraphs>0</Paragraphs>
  <TotalTime>13</TotalTime>
  <ScaleCrop>false</ScaleCrop>
  <LinksUpToDate>false</LinksUpToDate>
  <CharactersWithSpaces>6721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2024-12-25T03:43:57Z</cp:lastPrinted>
  <dcterms:modified xsi:type="dcterms:W3CDTF">2024-12-25T03:44:10Z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ies>
</file>