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院内询价投标文件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项目名称：干眼治疗中心改造（第二次</w:t>
      </w:r>
      <w:bookmarkStart w:id="29" w:name="_GoBack"/>
      <w:bookmarkEnd w:id="29"/>
      <w:r>
        <w:rPr>
          <w:rFonts w:hint="eastAsia"/>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项目编号：BSRMYY-YNCG-2025-04004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重庆市璧山区人民医院：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），经详细研究，愿意参加投标。并授权下述签字人</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，全权代表我投标单位提交下述文件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营业执照（经营范围）及特定资格要求</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总报价表及分项报价表</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法人身份证明和法人授权委托书</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4.改造工程院内招采要求响应表。</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5.投标书面廉政承诺。</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6.现场踏勘表（联系人张晓波，见招标公告）。</w:t>
      </w:r>
    </w:p>
    <w:p>
      <w:pPr>
        <w:autoSpaceDE w:val="0"/>
        <w:autoSpaceDN w:val="0"/>
        <w:adjustRightInd w:val="0"/>
        <w:snapToGrid w:val="0"/>
        <w:spacing w:line="360" w:lineRule="auto"/>
        <w:ind w:firstLine="48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7.其他供应商提供能完成本项目的资料。</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 xml:space="preserve">注：上述资料缺项将导致无效投标。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pPr>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jc w:val="center"/>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40"/>
          <w:szCs w:val="40"/>
          <w:lang w:val="en-US" w:eastAsia="zh-CN"/>
        </w:rPr>
        <w:t>改造工程院内招采要求</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Chars="304"/>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auto"/>
          <w:lang w:val="en-US" w:eastAsia="zh-CN"/>
        </w:rPr>
      </w:pP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fill="FEFEFE"/>
        </w:rPr>
        <w:t>基础信息</w:t>
      </w:r>
      <w:r>
        <w:rPr>
          <w:rFonts w:hint="eastAsia" w:ascii="方正黑体_GBK" w:hAnsi="方正黑体_GBK" w:eastAsia="方正黑体_GBK" w:cs="方正黑体_GBK"/>
          <w:i w:val="0"/>
          <w:iCs w:val="0"/>
          <w:caps w:val="0"/>
          <w:color w:val="auto"/>
          <w:spacing w:val="0"/>
          <w:sz w:val="32"/>
          <w:szCs w:val="32"/>
          <w:shd w:val="clear" w:fill="FEFEFE"/>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一）项目概况</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为改善干眼治疗区域诊区狭窄、布局不合理等情况、拟对门诊三楼眼科部分区域进行改造，改造面积约50</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，主要建设内容包含墙面、吊顶、给排水和强弱电改造等，打造一个专业整洁的干眼治疗中心。工程总投资约3.2万元。</w:t>
      </w:r>
      <w:r>
        <w:rPr>
          <w:rFonts w:hint="default" w:ascii="Times New Roman" w:hAnsi="Times New Roman" w:eastAsia="方正仿宋_GBK" w:cs="Times New Roman"/>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二）</w:t>
      </w:r>
      <w:r>
        <w:rPr>
          <w:rFonts w:hint="eastAsia" w:ascii="方正仿宋_GBK" w:hAnsi="方正仿宋_GBK" w:eastAsia="方正仿宋_GBK" w:cs="方正仿宋_GBK"/>
          <w:i w:val="0"/>
          <w:iCs w:val="0"/>
          <w:caps w:val="0"/>
          <w:color w:val="auto"/>
          <w:spacing w:val="0"/>
          <w:sz w:val="32"/>
          <w:szCs w:val="32"/>
          <w:shd w:val="clear" w:color="auto" w:fill="auto"/>
        </w:rPr>
        <w:t>项目名称</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干眼治疗中心改造工程</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项</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目编号：BSRMYY-YNCG-2025-04004 ；</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三）</w:t>
      </w:r>
      <w:r>
        <w:rPr>
          <w:rFonts w:hint="eastAsia" w:ascii="方正仿宋_GBK" w:hAnsi="方正仿宋_GBK" w:eastAsia="方正仿宋_GBK" w:cs="方正仿宋_GBK"/>
          <w:i w:val="0"/>
          <w:iCs w:val="0"/>
          <w:caps w:val="0"/>
          <w:color w:val="auto"/>
          <w:spacing w:val="0"/>
          <w:sz w:val="32"/>
          <w:szCs w:val="32"/>
          <w:shd w:val="clear" w:color="auto" w:fill="auto"/>
        </w:rPr>
        <w:t>建设地点/工期</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 xml:space="preserve">    建设地点：门诊三楼配镜中心</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建设</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工期：</w:t>
      </w:r>
      <w:r>
        <w:rPr>
          <w:rFonts w:hint="eastAsia" w:ascii="Times New Roman" w:hAnsi="Times New Roman" w:eastAsia="方正仿宋_GBK" w:cs="Times New Roman"/>
          <w:i w:val="0"/>
          <w:iCs w:val="0"/>
          <w:caps w:val="0"/>
          <w:color w:val="auto"/>
          <w:spacing w:val="0"/>
          <w:sz w:val="32"/>
          <w:szCs w:val="32"/>
          <w:shd w:val="clear" w:color="auto" w:fill="auto"/>
          <w:lang w:val="en-US" w:eastAsia="zh-CN"/>
        </w:rPr>
        <w:t>合同签订后</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30日历天</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四）</w:t>
      </w:r>
      <w:r>
        <w:rPr>
          <w:rFonts w:hint="eastAsia" w:ascii="方正仿宋_GBK" w:hAnsi="方正仿宋_GBK" w:eastAsia="方正仿宋_GBK" w:cs="方正仿宋_GBK"/>
          <w:i w:val="0"/>
          <w:iCs w:val="0"/>
          <w:caps w:val="0"/>
          <w:color w:val="auto"/>
          <w:spacing w:val="0"/>
          <w:sz w:val="32"/>
          <w:szCs w:val="32"/>
          <w:shd w:val="clear" w:color="auto" w:fill="auto"/>
        </w:rPr>
        <w:t>业主单位/资金来源</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业主单位：重庆市璧山区人民医院</w:t>
      </w:r>
    </w:p>
    <w:p>
      <w:pPr>
        <w:pageBreakBefore w:val="0"/>
        <w:widowControl w:val="0"/>
        <w:numPr>
          <w:ilvl w:val="0"/>
          <w:numId w:val="0"/>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资金来源：自筹</w:t>
      </w:r>
      <w:r>
        <w:rPr>
          <w:rFonts w:hint="eastAsia" w:ascii="方正仿宋_GBK" w:hAnsi="方正仿宋_GBK" w:eastAsia="方正仿宋_GBK" w:cs="方正仿宋_GBK"/>
          <w:i w:val="0"/>
          <w:iCs w:val="0"/>
          <w:caps w:val="0"/>
          <w:color w:val="auto"/>
          <w:spacing w:val="0"/>
          <w:sz w:val="32"/>
          <w:szCs w:val="32"/>
          <w:shd w:val="clear" w:color="auto" w:fill="auto"/>
        </w:rPr>
        <w:br w:type="textWrapping"/>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五）</w:t>
      </w:r>
      <w:r>
        <w:rPr>
          <w:rFonts w:hint="eastAsia" w:ascii="方正仿宋_GBK" w:hAnsi="方正仿宋_GBK" w:eastAsia="方正仿宋_GBK" w:cs="方正仿宋_GBK"/>
          <w:i w:val="0"/>
          <w:iCs w:val="0"/>
          <w:caps w:val="0"/>
          <w:color w:val="auto"/>
          <w:spacing w:val="0"/>
          <w:sz w:val="32"/>
          <w:szCs w:val="32"/>
          <w:shd w:val="clear" w:color="auto" w:fill="auto"/>
        </w:rPr>
        <w:t>项目阶段</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招投标阶段</w:t>
      </w:r>
    </w:p>
    <w:p>
      <w:pPr>
        <w:pageBreakBefore w:val="0"/>
        <w:widowControl w:val="0"/>
        <w:numPr>
          <w:ilvl w:val="0"/>
          <w:numId w:val="3"/>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仿宋_GBK" w:hAnsi="方正仿宋_GBK" w:eastAsia="方正仿宋_GBK" w:cs="方正仿宋_GBK"/>
          <w:i w:val="0"/>
          <w:iCs w:val="0"/>
          <w:caps w:val="0"/>
          <w:color w:val="auto"/>
          <w:spacing w:val="0"/>
          <w:sz w:val="32"/>
          <w:szCs w:val="32"/>
          <w:shd w:val="clear" w:color="auto" w:fill="auto"/>
          <w:lang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采购标的：</w:t>
      </w:r>
      <w:r>
        <w:rPr>
          <w:rFonts w:hint="eastAsia" w:ascii="方正仿宋_GBK" w:hAnsi="方正仿宋_GBK" w:eastAsia="方正仿宋_GBK" w:cs="方正仿宋_GBK"/>
          <w:i w:val="0"/>
          <w:iCs w:val="0"/>
          <w:caps w:val="0"/>
          <w:color w:val="auto"/>
          <w:spacing w:val="0"/>
          <w:sz w:val="32"/>
          <w:szCs w:val="32"/>
          <w:shd w:val="clear" w:color="auto" w:fill="auto"/>
        </w:rPr>
        <w:t>工程类</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rPr>
        <w:t>装修</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供应商</w:t>
      </w:r>
      <w:r>
        <w:rPr>
          <w:rFonts w:hint="eastAsia" w:ascii="Times New Roman" w:hAnsi="Times New Roman" w:eastAsia="方正仿宋_GBK" w:cs="Times New Roman"/>
          <w:b w:val="0"/>
          <w:bCs w:val="0"/>
          <w:color w:val="auto"/>
          <w:sz w:val="32"/>
          <w:szCs w:val="32"/>
          <w:lang w:val="en-US" w:eastAsia="zh-CN"/>
        </w:rPr>
        <w:t>特殊</w:t>
      </w:r>
      <w:r>
        <w:rPr>
          <w:rFonts w:hint="default" w:ascii="Times New Roman" w:hAnsi="Times New Roman" w:eastAsia="方正仿宋_GBK" w:cs="Times New Roman"/>
          <w:b w:val="0"/>
          <w:bCs w:val="0"/>
          <w:color w:val="auto"/>
          <w:sz w:val="32"/>
          <w:szCs w:val="32"/>
          <w:lang w:val="en-US" w:eastAsia="zh-CN"/>
        </w:rPr>
        <w:t>资质要求：</w:t>
      </w:r>
      <w:r>
        <w:rPr>
          <w:rFonts w:hint="eastAsia" w:ascii="Times New Roman" w:hAnsi="Times New Roman" w:eastAsia="方正仿宋_GBK" w:cs="Times New Roman"/>
          <w:b w:val="0"/>
          <w:bCs w:val="0"/>
          <w:color w:val="auto"/>
          <w:sz w:val="32"/>
          <w:szCs w:val="32"/>
          <w:lang w:val="en-US" w:eastAsia="zh-CN"/>
        </w:rPr>
        <w:t>建筑工程</w:t>
      </w:r>
      <w:r>
        <w:rPr>
          <w:rFonts w:hint="default" w:ascii="Times New Roman" w:hAnsi="Times New Roman" w:eastAsia="方正仿宋_GBK" w:cs="Times New Roman"/>
          <w:b w:val="0"/>
          <w:bCs w:val="0"/>
          <w:color w:val="auto"/>
          <w:sz w:val="32"/>
          <w:szCs w:val="32"/>
          <w:lang w:val="en-US" w:eastAsia="zh-CN"/>
        </w:rPr>
        <w:t>专业总承包三级及以上，近两年有类似项目业绩</w:t>
      </w:r>
      <w:r>
        <w:rPr>
          <w:rFonts w:hint="eastAsia" w:ascii="Times New Roman" w:hAnsi="Times New Roman" w:eastAsia="方正仿宋_GBK" w:cs="Times New Roman"/>
          <w:b w:val="0"/>
          <w:bCs w:val="0"/>
          <w:color w:val="auto"/>
          <w:sz w:val="32"/>
          <w:szCs w:val="32"/>
          <w:lang w:val="en-US" w:eastAsia="zh-CN"/>
        </w:rPr>
        <w:t>（提供佐证合同）</w:t>
      </w:r>
      <w:r>
        <w:rPr>
          <w:rFonts w:hint="default" w:ascii="Times New Roman" w:hAnsi="Times New Roman" w:eastAsia="方正仿宋_GBK" w:cs="Times New Roman"/>
          <w:b w:val="0"/>
          <w:bCs w:val="0"/>
          <w:color w:val="auto"/>
          <w:sz w:val="32"/>
          <w:szCs w:val="32"/>
          <w:lang w:val="en-US" w:eastAsia="zh-CN"/>
        </w:rPr>
        <w:t>。</w:t>
      </w:r>
    </w:p>
    <w:p>
      <w:pPr>
        <w:pageBreakBefore w:val="0"/>
        <w:widowControl w:val="0"/>
        <w:numPr>
          <w:ilvl w:val="0"/>
          <w:numId w:val="2"/>
        </w:numPr>
        <w:shd w:val="clear" w:fill="FFFFFF" w:themeFill="background1"/>
        <w:kinsoku/>
        <w:wordWrap/>
        <w:overflowPunct/>
        <w:topLinePunct w:val="0"/>
        <w:autoSpaceDE/>
        <w:autoSpaceDN/>
        <w:bidi w:val="0"/>
        <w:adjustRightInd/>
        <w:spacing w:line="580" w:lineRule="exact"/>
        <w:ind w:left="638" w:leftChars="304" w:firstLine="0" w:firstLineChars="0"/>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技术要求</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工程规范：强制性工程建设规范的全部条文必须严格执行。</w:t>
      </w:r>
    </w:p>
    <w:p>
      <w:pPr>
        <w:keepNext w:val="0"/>
        <w:keepLines w:val="0"/>
        <w:pageBreakBefore w:val="0"/>
        <w:widowControl w:val="0"/>
        <w:numPr>
          <w:ilvl w:val="0"/>
          <w:numId w:val="4"/>
        </w:numPr>
        <w:shd w:val="clear" w:fill="FFFFFF" w:themeFill="background1"/>
        <w:kinsoku/>
        <w:wordWrap/>
        <w:overflowPunct/>
        <w:topLinePunct w:val="0"/>
        <w:autoSpaceDE/>
        <w:autoSpaceDN/>
        <w:bidi w:val="0"/>
        <w:adjustRightInd/>
        <w:snapToGrid/>
        <w:spacing w:line="580" w:lineRule="exact"/>
        <w:ind w:left="0" w:leftChars="0" w:firstLine="640" w:firstLineChars="200"/>
        <w:textAlignment w:val="auto"/>
        <w:rPr>
          <w:rFonts w:hint="default" w:ascii="方正仿宋_GBK" w:hAnsi="方正仿宋_GBK" w:eastAsia="方正仿宋_GBK" w:cs="方正仿宋_GBK"/>
          <w:i w:val="0"/>
          <w:iCs w:val="0"/>
          <w:caps w:val="0"/>
          <w:color w:val="auto"/>
          <w:spacing w:val="0"/>
          <w:sz w:val="32"/>
          <w:szCs w:val="32"/>
          <w:shd w:val="clear" w:color="auto" w:fill="auto"/>
          <w:lang w:val="en-US" w:eastAsia="zh-CN"/>
        </w:rPr>
      </w:pP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施工工艺要求：</w:t>
      </w:r>
      <w:r>
        <w:rPr>
          <w:rFonts w:hint="default" w:ascii="Times New Roman" w:hAnsi="Times New Roman" w:eastAsia="方正仿宋_GBK" w:cs="Times New Roman"/>
          <w:color w:val="auto"/>
          <w:sz w:val="32"/>
          <w:szCs w:val="32"/>
          <w:shd w:val="clear" w:color="auto" w:fill="auto"/>
        </w:rPr>
        <w:t>工程质量标准必须符合现行国家有关工程施工质量验收规范和标准的要求</w:t>
      </w:r>
      <w:r>
        <w:rPr>
          <w:rFonts w:hint="eastAsia"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工程使用的材料和设备需提供出厂检验报告、产品合格证书等</w:t>
      </w:r>
      <w:r>
        <w:rPr>
          <w:rFonts w:hint="default" w:ascii="Times New Roman" w:hAnsi="Times New Roman" w:eastAsia="方正仿宋_GBK" w:cs="Times New Roman"/>
          <w:color w:val="auto"/>
          <w:sz w:val="32"/>
          <w:szCs w:val="32"/>
          <w:shd w:val="clear" w:color="auto" w:fill="auto"/>
          <w:lang w:eastAsia="zh-CN"/>
        </w:rPr>
        <w:t>。</w:t>
      </w:r>
    </w:p>
    <w:p>
      <w:pPr>
        <w:pageBreakBefore w:val="0"/>
        <w:widowControl w:val="0"/>
        <w:numPr>
          <w:ilvl w:val="0"/>
          <w:numId w:val="4"/>
        </w:numPr>
        <w:shd w:val="clear" w:fill="FFFFFF" w:themeFill="background1"/>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Times New Roman"/>
          <w:snapToGrid w:val="0"/>
          <w:color w:val="auto"/>
          <w:sz w:val="32"/>
          <w:szCs w:val="32"/>
          <w:shd w:val="clear" w:color="auto" w:fill="auto"/>
        </w:rPr>
      </w:pPr>
      <w:r>
        <w:rPr>
          <w:rFonts w:hint="eastAsia" w:ascii="方正仿宋_GBK" w:hAnsi="方正仿宋_GBK" w:eastAsia="方正仿宋_GBK" w:cs="方正仿宋_GBK"/>
          <w:b w:val="0"/>
          <w:bCs w:val="0"/>
          <w:color w:val="000000"/>
          <w:kern w:val="2"/>
          <w:sz w:val="32"/>
          <w:szCs w:val="32"/>
          <w:lang w:val="en-US" w:eastAsia="zh-CN" w:bidi="ar-SA"/>
        </w:rPr>
        <w:t>实施范围：</w:t>
      </w:r>
      <w:r>
        <w:rPr>
          <w:rFonts w:hint="eastAsia" w:ascii="方正仿宋_GBK" w:hAnsi="方正仿宋_GBK" w:eastAsia="方正仿宋_GBK" w:cs="方正仿宋_GBK"/>
          <w:b w:val="0"/>
          <w:bCs w:val="0"/>
          <w:snapToGrid w:val="0"/>
          <w:kern w:val="21"/>
          <w:sz w:val="32"/>
          <w:szCs w:val="32"/>
          <w:lang w:val="en-US" w:eastAsia="zh-CN"/>
        </w:rPr>
        <w:t>《干眼治疗中心改造工程装饰施工图》、干眼治疗中心改造清单，以及其他经采购人确认的内容。</w:t>
      </w:r>
    </w:p>
    <w:p>
      <w:pPr>
        <w:pageBreakBefore w:val="0"/>
        <w:widowControl w:val="0"/>
        <w:numPr>
          <w:ilvl w:val="0"/>
          <w:numId w:val="4"/>
        </w:numPr>
        <w:shd w:val="clear" w:fill="FFFFFF" w:themeFill="background1"/>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Times New Roman"/>
          <w:snapToGrid w:val="0"/>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验收标准：施工完成后由供应商提出验收申请，按照</w:t>
      </w:r>
      <w:r>
        <w:rPr>
          <w:rFonts w:hint="eastAsia" w:ascii="Times New Roman" w:hAnsi="Times New Roman" w:eastAsia="方正仿宋_GBK" w:cs="Times New Roman"/>
          <w:snapToGrid w:val="0"/>
          <w:color w:val="auto"/>
          <w:sz w:val="32"/>
          <w:szCs w:val="32"/>
          <w:shd w:val="clear" w:color="auto" w:fill="auto"/>
        </w:rPr>
        <w:t>工程量收方计量，相关科室和财务、审计科参加，须有3人或3人以上人员参加并签字确认。</w:t>
      </w:r>
    </w:p>
    <w:p>
      <w:pPr>
        <w:numPr>
          <w:ilvl w:val="0"/>
          <w:numId w:val="0"/>
        </w:numPr>
        <w:shd w:val="clear" w:fill="FFFFFF" w:themeFill="background1"/>
        <w:bidi w:val="0"/>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三、商务条款</w:t>
      </w:r>
    </w:p>
    <w:p>
      <w:pPr>
        <w:pStyle w:val="3"/>
        <w:ind w:firstLine="640" w:firstLineChars="200"/>
        <w:rPr>
          <w:rFonts w:hint="default"/>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（一）发包限价：</w:t>
      </w:r>
      <w:r>
        <w:rPr>
          <w:rFonts w:hint="eastAsia" w:ascii="方正仿宋_GBK" w:hAnsi="方正仿宋_GBK" w:eastAsia="方正仿宋_GBK" w:cs="方正仿宋_GBK"/>
          <w:b w:val="0"/>
          <w:bCs w:val="0"/>
          <w:color w:val="000000"/>
          <w:sz w:val="32"/>
          <w:szCs w:val="32"/>
          <w:lang w:val="en-US" w:eastAsia="zh-CN"/>
        </w:rPr>
        <w:t>32000元，该</w:t>
      </w:r>
      <w:r>
        <w:rPr>
          <w:rFonts w:hint="eastAsia" w:ascii="方正仿宋_GBK" w:hAnsi="方正仿宋_GBK" w:eastAsia="方正仿宋_GBK" w:cs="方正仿宋_GBK"/>
          <w:color w:val="000000"/>
          <w:kern w:val="0"/>
          <w:sz w:val="32"/>
          <w:szCs w:val="32"/>
          <w:shd w:val="clear" w:color="auto" w:fill="FFFFFF"/>
          <w:lang w:val="en-US" w:eastAsia="zh-CN" w:bidi="ar"/>
        </w:rPr>
        <w:t>限价</w:t>
      </w:r>
      <w:r>
        <w:rPr>
          <w:rFonts w:hint="eastAsia" w:ascii="方正仿宋_GBK" w:hAnsi="方正仿宋_GBK" w:eastAsia="方正仿宋_GBK" w:cs="方正仿宋_GBK"/>
          <w:b w:val="0"/>
          <w:bCs w:val="0"/>
          <w:color w:val="000000"/>
          <w:sz w:val="32"/>
          <w:szCs w:val="32"/>
          <w:lang w:val="en-US" w:eastAsia="zh-CN"/>
        </w:rPr>
        <w:t>实行</w:t>
      </w:r>
      <w:r>
        <w:rPr>
          <w:rFonts w:hint="default" w:ascii="Times New Roman" w:hAnsi="Times New Roman" w:eastAsia="方正仿宋_GBK" w:cs="Times New Roman"/>
          <w:b w:val="0"/>
          <w:bCs w:val="0"/>
          <w:color w:val="auto"/>
          <w:sz w:val="32"/>
          <w:szCs w:val="32"/>
          <w:lang w:val="en-US" w:eastAsia="zh-CN"/>
        </w:rPr>
        <w:t>总价包干</w:t>
      </w:r>
      <w:r>
        <w:rPr>
          <w:rFonts w:hint="eastAsia" w:ascii="方正仿宋_GBK" w:hAnsi="方正仿宋_GBK" w:eastAsia="方正仿宋_GBK" w:cs="方正仿宋_GBK"/>
          <w:b w:val="0"/>
          <w:bCs w:val="0"/>
          <w:color w:val="000000"/>
          <w:sz w:val="32"/>
          <w:szCs w:val="32"/>
          <w:lang w:val="en-US" w:eastAsia="zh-CN"/>
        </w:rPr>
        <w:t>，包含安全文明措施费、人工费、材料费、税费、保险费、运输搬运费、场地清洁费等所有完成该工程改造所需的所有费用，请参考附件1和附件2。工程改造期间发生的安全责任事故由供应商自行承担责任。</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付款节点：工程验收合格后支付至合同金额97%，</w:t>
      </w:r>
      <w:r>
        <w:rPr>
          <w:rFonts w:hint="eastAsia" w:ascii="Times New Roman" w:hAnsi="Times New Roman" w:eastAsia="方正仿宋_GBK" w:cs="Times New Roman"/>
          <w:b w:val="0"/>
          <w:bCs w:val="0"/>
          <w:color w:val="auto"/>
          <w:sz w:val="32"/>
          <w:szCs w:val="32"/>
          <w:lang w:val="en-US" w:eastAsia="zh-CN"/>
        </w:rPr>
        <w:t>剩余3%作为工程</w:t>
      </w:r>
      <w:r>
        <w:rPr>
          <w:rFonts w:ascii="Times New Roman" w:hAnsi="Times New Roman" w:eastAsia="方正仿宋_GBK" w:cs="Times New Roman"/>
          <w:color w:val="auto"/>
          <w:sz w:val="32"/>
          <w:szCs w:val="32"/>
        </w:rPr>
        <w:t>质量</w:t>
      </w:r>
      <w:r>
        <w:rPr>
          <w:rFonts w:hint="eastAsia" w:ascii="Times New Roman" w:hAnsi="Times New Roman" w:eastAsia="方正仿宋_GBK" w:cs="Times New Roman"/>
          <w:color w:val="auto"/>
          <w:sz w:val="32"/>
          <w:szCs w:val="32"/>
          <w:lang w:val="en-US" w:eastAsia="zh-CN"/>
        </w:rPr>
        <w:t>保证金，质量</w:t>
      </w:r>
      <w:r>
        <w:rPr>
          <w:rFonts w:ascii="Times New Roman" w:hAnsi="Times New Roman" w:eastAsia="方正仿宋_GBK" w:cs="Times New Roman"/>
          <w:color w:val="auto"/>
          <w:sz w:val="32"/>
          <w:szCs w:val="32"/>
        </w:rPr>
        <w:t>保修期</w:t>
      </w:r>
      <w:r>
        <w:rPr>
          <w:rFonts w:hint="eastAsia" w:ascii="Times New Roman" w:hAnsi="Times New Roman" w:eastAsia="方正仿宋_GBK" w:cs="Times New Roman"/>
          <w:color w:val="auto"/>
          <w:sz w:val="32"/>
          <w:szCs w:val="32"/>
          <w:lang w:val="en-US" w:eastAsia="zh-CN"/>
        </w:rPr>
        <w:t>为1年，</w:t>
      </w:r>
      <w:r>
        <w:rPr>
          <w:rFonts w:ascii="Times New Roman" w:hAnsi="Times New Roman" w:eastAsia="方正仿宋_GBK" w:cs="Times New Roman"/>
          <w:color w:val="auto"/>
          <w:sz w:val="32"/>
          <w:szCs w:val="32"/>
        </w:rPr>
        <w:t>自工程竣工验收合格之日起计算。</w:t>
      </w:r>
      <w:r>
        <w:rPr>
          <w:rFonts w:hint="eastAsia" w:ascii="Times New Roman" w:hAnsi="Times New Roman" w:eastAsia="方正仿宋_GBK" w:cs="Times New Roman"/>
          <w:color w:val="auto"/>
          <w:sz w:val="32"/>
          <w:szCs w:val="32"/>
          <w:lang w:val="en-US" w:eastAsia="zh-CN"/>
        </w:rPr>
        <w:t>质量</w:t>
      </w:r>
      <w:r>
        <w:rPr>
          <w:rFonts w:ascii="Times New Roman" w:hAnsi="Times New Roman" w:eastAsia="方正仿宋_GBK" w:cs="Times New Roman"/>
          <w:color w:val="auto"/>
          <w:sz w:val="32"/>
          <w:szCs w:val="32"/>
        </w:rPr>
        <w:t>保修期</w:t>
      </w:r>
      <w:r>
        <w:rPr>
          <w:rFonts w:hint="eastAsia" w:ascii="Times New Roman" w:hAnsi="Times New Roman" w:eastAsia="方正仿宋_GBK" w:cs="Times New Roman"/>
          <w:color w:val="auto"/>
          <w:sz w:val="32"/>
          <w:szCs w:val="32"/>
          <w:lang w:val="en-US" w:eastAsia="zh-CN"/>
        </w:rPr>
        <w:t>届满无质量问题无息</w:t>
      </w:r>
      <w:r>
        <w:rPr>
          <w:rFonts w:hint="default" w:ascii="Times New Roman" w:hAnsi="Times New Roman" w:eastAsia="方正仿宋_GBK" w:cs="Times New Roman"/>
          <w:b w:val="0"/>
          <w:bCs w:val="0"/>
          <w:color w:val="auto"/>
          <w:sz w:val="32"/>
          <w:szCs w:val="32"/>
          <w:lang w:val="en-US" w:eastAsia="zh-CN"/>
        </w:rPr>
        <w:t>支付。</w:t>
      </w:r>
    </w:p>
    <w:p>
      <w:pPr>
        <w:pStyle w:val="3"/>
        <w:ind w:firstLine="640" w:firstLineChars="200"/>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（三）履约保证金：</w:t>
      </w:r>
    </w:p>
    <w:p>
      <w:pPr>
        <w:ind w:firstLine="640" w:firstLineChars="200"/>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本项目履约保证金1000元，</w:t>
      </w:r>
      <w:r>
        <w:rPr>
          <w:rFonts w:hint="default" w:ascii="Times New Roman" w:hAnsi="Times New Roman" w:eastAsia="方正仿宋_GBK" w:cs="Times New Roman"/>
          <w:b w:val="0"/>
          <w:bCs w:val="0"/>
          <w:color w:val="auto"/>
          <w:sz w:val="32"/>
          <w:szCs w:val="32"/>
          <w:lang w:val="en-US" w:eastAsia="zh-CN"/>
        </w:rPr>
        <w:t>中标后3个工作日内</w:t>
      </w:r>
      <w:r>
        <w:rPr>
          <w:rFonts w:hint="eastAsia" w:ascii="Times New Roman" w:hAnsi="Times New Roman" w:eastAsia="方正仿宋_GBK" w:cs="Times New Roman"/>
          <w:b w:val="0"/>
          <w:bCs w:val="0"/>
          <w:color w:val="auto"/>
          <w:sz w:val="32"/>
          <w:szCs w:val="32"/>
          <w:lang w:val="en-US" w:eastAsia="zh-CN"/>
        </w:rPr>
        <w:t>缴纳</w:t>
      </w:r>
      <w:r>
        <w:rPr>
          <w:rFonts w:hint="default" w:ascii="Times New Roman" w:hAnsi="Times New Roman" w:eastAsia="方正仿宋_GBK" w:cs="Times New Roman"/>
          <w:b w:val="0"/>
          <w:bCs w:val="0"/>
          <w:color w:val="auto"/>
          <w:sz w:val="32"/>
          <w:szCs w:val="32"/>
          <w:lang w:val="en-US" w:eastAsia="zh-CN"/>
        </w:rPr>
        <w:t>履约保证金1000元</w:t>
      </w:r>
      <w:r>
        <w:rPr>
          <w:rFonts w:hint="eastAsia" w:ascii="方正仿宋_GBK" w:hAnsi="方正仿宋_GBK" w:eastAsia="方正仿宋_GBK" w:cs="方正仿宋_GBK"/>
          <w:kern w:val="2"/>
          <w:sz w:val="30"/>
          <w:szCs w:val="30"/>
          <w:highlight w:val="none"/>
          <w:lang w:val="en-US" w:eastAsia="zh-CN" w:bidi="ar-SA"/>
        </w:rPr>
        <w:t>（形式可为现金、支票、汇款、银行保函等）</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如发现供应商违约行为、与采购人的廉洁违纪行为、投标时围标串标行为等将予以没收，并纳入采购人供应商不良执业记录进行管理。验收合格无上述行为无息退还</w:t>
      </w:r>
      <w:r>
        <w:rPr>
          <w:rFonts w:hint="default" w:ascii="Times New Roman" w:hAnsi="Times New Roman" w:eastAsia="方正仿宋_GBK" w:cs="Times New Roman"/>
          <w:b w:val="0"/>
          <w:bCs w:val="0"/>
          <w:color w:val="auto"/>
          <w:sz w:val="32"/>
          <w:szCs w:val="32"/>
          <w:lang w:val="en-US" w:eastAsia="zh-CN"/>
        </w:rPr>
        <w:t>。</w:t>
      </w:r>
    </w:p>
    <w:p>
      <w:pPr>
        <w:pStyle w:val="3"/>
        <w:ind w:firstLine="640" w:firstLineChars="200"/>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（四）违约责任</w:t>
      </w:r>
    </w:p>
    <w:p>
      <w:pPr>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未按期完成改造施工的，供应商延期交付的每日支付500元违约金；施工期间工作人员不服从医院的管理，对造成患者纠纷或投诉每件支付1000元违约金，如对患者及采购人造成损害另行赔偿；施工期间发现供应商使用假冒伪劣产品，按照该产品正规渠道市场价格的3倍支付违约金，如已施工撤除后重新施工；因工程改造质量验收不合格或隐蔽工程安全隐患由采购人发现之日起供应商10日内无条件整改，对采购人造成的损失承担全部责任；其他情况由合同进行约定。</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leftChars="304"/>
        <w:textAlignment w:val="auto"/>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pPr>
      <w:r>
        <w:rPr>
          <w:rFonts w:hint="default" w:ascii="Times New Roman" w:hAnsi="Times New Roman" w:eastAsia="方正黑体_GBK" w:cs="Times New Roman"/>
          <w:b w:val="0"/>
          <w:bCs w:val="0"/>
          <w:i w:val="0"/>
          <w:iCs w:val="0"/>
          <w:caps w:val="0"/>
          <w:color w:val="auto"/>
          <w:spacing w:val="0"/>
          <w:kern w:val="2"/>
          <w:sz w:val="32"/>
          <w:szCs w:val="32"/>
          <w:shd w:val="clear" w:fill="FEFEFE"/>
          <w:lang w:val="en-US" w:eastAsia="zh-CN" w:bidi="ar-SA"/>
        </w:rPr>
        <w:t>四、其他要求</w:t>
      </w:r>
    </w:p>
    <w:p>
      <w:pPr>
        <w:pageBreakBefore w:val="0"/>
        <w:widowControl w:val="0"/>
        <w:numPr>
          <w:ilvl w:val="0"/>
          <w:numId w:val="0"/>
        </w:numPr>
        <w:shd w:val="clear" w:fill="FFFFFF" w:themeFill="background1"/>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w:t>
      </w:r>
      <w:r>
        <w:rPr>
          <w:rFonts w:hint="eastAsia" w:ascii="Times New Roman" w:hAnsi="Times New Roman" w:eastAsia="方正仿宋_GBK" w:cs="Times New Roman"/>
          <w:b w:val="0"/>
          <w:bCs w:val="0"/>
          <w:color w:val="auto"/>
          <w:sz w:val="32"/>
          <w:szCs w:val="32"/>
          <w:lang w:val="en-US" w:eastAsia="zh-CN"/>
        </w:rPr>
        <w:t>中选标准为满足采购人要求的最低评标价法。</w:t>
      </w:r>
    </w:p>
    <w:p>
      <w:pPr>
        <w:pStyle w:val="3"/>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r>
        <w:rPr>
          <w:rFonts w:hint="eastAsia" w:ascii="方正仿宋_GBK" w:hAnsi="方正仿宋_GBK" w:eastAsia="方正仿宋_GBK" w:cs="方正仿宋_GBK"/>
          <w:i w:val="0"/>
          <w:iCs w:val="0"/>
          <w:caps w:val="0"/>
          <w:color w:val="auto"/>
          <w:spacing w:val="0"/>
          <w:sz w:val="32"/>
          <w:szCs w:val="32"/>
          <w:shd w:val="clear" w:fill="FEFEFE"/>
          <w:lang w:val="en-US" w:eastAsia="zh-CN"/>
        </w:rPr>
        <w:t>（二）</w:t>
      </w:r>
      <w:r>
        <w:rPr>
          <w:rFonts w:hint="eastAsia" w:ascii="Times New Roman" w:hAnsi="Times New Roman" w:eastAsia="方正仿宋_GBK" w:cs="Times New Roman"/>
          <w:snapToGrid w:val="0"/>
          <w:color w:val="auto"/>
          <w:kern w:val="21"/>
          <w:sz w:val="32"/>
          <w:szCs w:val="20"/>
          <w:lang w:val="en-US" w:eastAsia="zh-CN" w:bidi="ar-SA"/>
        </w:rPr>
        <w:t>投标人务必到新院区眼科门诊踏勘现场，将踏勘记录表装订至投标文件内一并投标。</w:t>
      </w:r>
    </w:p>
    <w:p>
      <w:pPr>
        <w:shd w:val="clear" w:fill="FFFFFF" w:themeFill="background1"/>
        <w:ind w:firstLine="640" w:firstLineChars="200"/>
        <w:rPr>
          <w:rFonts w:hint="eastAsia" w:ascii="Times New Roman" w:hAnsi="Times New Roman" w:eastAsia="方正仿宋_GBK" w:cs="Times New Roman"/>
          <w:snapToGrid w:val="0"/>
          <w:color w:val="auto"/>
          <w:kern w:val="21"/>
          <w:sz w:val="32"/>
          <w:szCs w:val="20"/>
          <w:lang w:val="en-US" w:eastAsia="zh-CN" w:bidi="ar-SA"/>
        </w:rPr>
      </w:pPr>
    </w:p>
    <w:p>
      <w:pPr>
        <w:shd w:val="clear" w:fill="FFFFFF" w:themeFill="background1"/>
        <w:ind w:firstLine="640" w:firstLineChars="20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附件：1.眼科干眼治疗中心改造方案图</w:t>
      </w:r>
    </w:p>
    <w:p>
      <w:pPr>
        <w:pStyle w:val="3"/>
        <w:numPr>
          <w:ilvl w:val="0"/>
          <w:numId w:val="0"/>
        </w:numPr>
        <w:shd w:val="clear" w:fill="FFFFFF" w:themeFill="background1"/>
        <w:ind w:left="1600" w:leftChars="0"/>
        <w:rPr>
          <w:rFonts w:hint="eastAsia"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2.眼科干眼治疗中心改造清单</w:t>
      </w:r>
    </w:p>
    <w:p>
      <w:pPr>
        <w:numPr>
          <w:ilvl w:val="0"/>
          <w:numId w:val="0"/>
        </w:numPr>
        <w:ind w:left="1600" w:leftChars="0"/>
        <w:rPr>
          <w:rFonts w:hint="default" w:ascii="Times New Roman" w:hAnsi="Times New Roman" w:eastAsia="方正仿宋_GBK" w:cs="Times New Roman"/>
          <w:snapToGrid w:val="0"/>
          <w:color w:val="auto"/>
          <w:kern w:val="21"/>
          <w:sz w:val="32"/>
          <w:szCs w:val="20"/>
          <w:lang w:val="en-US" w:eastAsia="zh-CN" w:bidi="ar-SA"/>
        </w:rPr>
      </w:pPr>
      <w:r>
        <w:rPr>
          <w:rFonts w:hint="eastAsia" w:ascii="Times New Roman" w:hAnsi="Times New Roman" w:eastAsia="方正仿宋_GBK" w:cs="Times New Roman"/>
          <w:snapToGrid w:val="0"/>
          <w:color w:val="auto"/>
          <w:kern w:val="21"/>
          <w:sz w:val="32"/>
          <w:szCs w:val="20"/>
          <w:lang w:val="en-US" w:eastAsia="zh-CN" w:bidi="ar-SA"/>
        </w:rPr>
        <w:t>3.其他资料</w:t>
      </w:r>
    </w:p>
    <w:p>
      <w:pPr>
        <w:pStyle w:val="11"/>
        <w:rPr>
          <w:rFonts w:hint="eastAsia" w:ascii="方正仿宋_GBK" w:hAnsi="方正仿宋_GBK" w:eastAsia="方正仿宋_GBK" w:cs="方正仿宋_GBK"/>
          <w:color w:val="000000"/>
          <w:kern w:val="2"/>
          <w:sz w:val="32"/>
          <w:szCs w:val="32"/>
          <w:lang w:val="en-US" w:eastAsia="zh-CN" w:bidi="ar-SA"/>
        </w:rPr>
      </w:pPr>
    </w:p>
    <w:p>
      <w:pPr>
        <w:autoSpaceDE w:val="0"/>
        <w:autoSpaceDN w:val="0"/>
        <w:adjustRightInd w:val="0"/>
        <w:snapToGrid w:val="0"/>
        <w:spacing w:line="360" w:lineRule="auto"/>
        <w:ind w:left="0" w:leftChars="0" w:right="480" w:firstLine="0" w:firstLineChars="0"/>
        <w:jc w:val="left"/>
        <w:rPr>
          <w:rFonts w:hint="eastAsia"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br w:type="page"/>
      </w:r>
    </w:p>
    <w:p>
      <w:p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附件一：</w:t>
      </w:r>
    </w:p>
    <w:p>
      <w:pPr>
        <w:jc w:val="center"/>
        <w:rPr>
          <w:rFonts w:hint="eastAsia" w:ascii="仿宋_GB2312" w:hAnsi="宋体" w:eastAsia="仿宋_GB2312" w:cs="宋体"/>
          <w:color w:val="auto"/>
          <w:sz w:val="32"/>
          <w:szCs w:val="32"/>
          <w:lang w:val="en-US" w:eastAsia="zh-CN"/>
        </w:rPr>
      </w:pPr>
      <w:r>
        <w:rPr>
          <w:rFonts w:hint="eastAsia" w:ascii="Times New Roman" w:hAnsi="Times New Roman" w:eastAsia="方正仿宋_GBK" w:cs="Times New Roman"/>
          <w:snapToGrid w:val="0"/>
          <w:color w:val="auto"/>
          <w:kern w:val="21"/>
          <w:sz w:val="32"/>
          <w:szCs w:val="20"/>
          <w:lang w:val="en-US" w:eastAsia="zh-CN" w:bidi="ar-SA"/>
        </w:rPr>
        <w:t>眼科干眼治疗中心改造方案图</w:t>
      </w:r>
    </w:p>
    <w:p>
      <w:pPr>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drawing>
          <wp:inline distT="0" distB="0" distL="114300" distR="114300">
            <wp:extent cx="6113145" cy="4335780"/>
            <wp:effectExtent l="0" t="0" r="1905" b="7620"/>
            <wp:docPr id="2" name="图片 2" descr="附件1-眼科干眼治疗中心改造方案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眼科干眼治疗中心改造方案图_00"/>
                    <pic:cNvPicPr>
                      <a:picLocks noChangeAspect="1"/>
                    </pic:cNvPicPr>
                  </pic:nvPicPr>
                  <pic:blipFill>
                    <a:blip r:embed="rId4"/>
                    <a:stretch>
                      <a:fillRect/>
                    </a:stretch>
                  </pic:blipFill>
                  <pic:spPr>
                    <a:xfrm>
                      <a:off x="0" y="0"/>
                      <a:ext cx="6113145" cy="4335780"/>
                    </a:xfrm>
                    <a:prstGeom prst="rect">
                      <a:avLst/>
                    </a:prstGeom>
                  </pic:spPr>
                </pic:pic>
              </a:graphicData>
            </a:graphic>
          </wp:inline>
        </w:drawing>
      </w:r>
    </w:p>
    <w:p>
      <w:pPr>
        <w:rPr>
          <w:rFonts w:hint="eastAsia" w:ascii="仿宋_GB2312" w:hAnsi="宋体" w:eastAsia="仿宋_GB2312" w:cs="宋体"/>
          <w:color w:val="auto"/>
          <w:sz w:val="32"/>
          <w:szCs w:val="32"/>
          <w:lang w:val="en-US" w:eastAsia="zh-CN"/>
        </w:rPr>
      </w:pPr>
    </w:p>
    <w:p>
      <w:pPr>
        <w:rPr>
          <w:rFonts w:hint="eastAsia" w:ascii="仿宋_GB2312" w:hAnsi="宋体" w:eastAsia="仿宋_GB2312" w:cs="宋体"/>
          <w:color w:val="auto"/>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en-US" w:eastAsia="zh-CN"/>
        </w:rPr>
        <w:drawing>
          <wp:inline distT="0" distB="0" distL="114300" distR="114300">
            <wp:extent cx="6113145" cy="4335780"/>
            <wp:effectExtent l="0" t="0" r="1905" b="7620"/>
            <wp:docPr id="3" name="图片 3" descr="附件1-眼科干眼治疗中心改造方案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附件1-眼科干眼治疗中心改造方案图_01"/>
                    <pic:cNvPicPr>
                      <a:picLocks noChangeAspect="1"/>
                    </pic:cNvPicPr>
                  </pic:nvPicPr>
                  <pic:blipFill>
                    <a:blip r:embed="rId5"/>
                    <a:stretch>
                      <a:fillRect/>
                    </a:stretch>
                  </pic:blipFill>
                  <pic:spPr>
                    <a:xfrm>
                      <a:off x="0" y="0"/>
                      <a:ext cx="6113145" cy="4335780"/>
                    </a:xfrm>
                    <a:prstGeom prst="rect">
                      <a:avLst/>
                    </a:prstGeom>
                  </pic:spPr>
                </pic:pic>
              </a:graphicData>
            </a:graphic>
          </wp:inline>
        </w:drawing>
      </w:r>
    </w:p>
    <w:p>
      <w:pPr>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附件二：</w:t>
      </w:r>
    </w:p>
    <w:tbl>
      <w:tblPr>
        <w:tblStyle w:val="7"/>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100"/>
        <w:gridCol w:w="1941"/>
        <w:gridCol w:w="1300"/>
        <w:gridCol w:w="1457"/>
        <w:gridCol w:w="1086"/>
        <w:gridCol w:w="1086"/>
        <w:gridCol w:w="900"/>
        <w:gridCol w:w="5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0" w:type="dxa"/>
            <w:gridSpan w:val="9"/>
            <w:tcBorders>
              <w:top w:val="nil"/>
              <w:left w:val="nil"/>
              <w:bottom w:val="nil"/>
              <w:right w:val="nil"/>
            </w:tcBorders>
            <w:shd w:val="clear" w:color="auto" w:fill="auto"/>
            <w:noWrap/>
            <w:vAlign w:val="center"/>
          </w:tcPr>
          <w:p>
            <w:pPr>
              <w:keepNext w:val="0"/>
              <w:keepLines w:val="0"/>
              <w:widowControl/>
              <w:suppressLineNumbers w:val="0"/>
              <w:ind w:firstLine="3600" w:firstLineChars="900"/>
              <w:jc w:val="left"/>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xml:space="preserve">干眼治疗中心改造清单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拆除天棚筒灯、修复吊顶</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拆除天棚筒灯，石膏板修复灯孔</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开孔安装条形LED灯</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开灯孔，安装灯具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规格300*1200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天棚乳胶漆</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腻子找平，刷乳胶漆两遍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1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100mm厚吸音棉隔墙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轻钢龙骨双面石膏板夹芯吸音板隔墙基层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11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吸音棉隔墙冰火板饰面</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贴冰火板饰面层。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钢化玻璃额隔断，铝合金包边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5.9*3.2+5.9*2.8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墙顶包边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架设龙骨基层，铺面板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9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内玻璃门</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拆除原玻璃墙面，安装钢化玻璃门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2.1*3.2*8mm</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3292.80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94" w:type="dxa"/>
          <w:trHeight w:val="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拆除天棚玻璃隔帘</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拆除、弃运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94" w:type="dxa"/>
          <w:trHeight w:val="480" w:hRule="atLeast"/>
        </w:trPr>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4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31929.40 </w:t>
            </w:r>
          </w:p>
        </w:tc>
      </w:tr>
    </w:tbl>
    <w:p>
      <w:pPr>
        <w:rPr>
          <w:rFonts w:hint="eastAsia" w:ascii="仿宋_GB2312" w:hAnsi="宋体" w:eastAsia="仿宋_GB2312" w:cs="宋体"/>
          <w:color w:val="auto"/>
          <w:sz w:val="28"/>
          <w:szCs w:val="28"/>
          <w:lang w:val="zh-CN"/>
        </w:rPr>
      </w:pPr>
    </w:p>
    <w:p>
      <w:pPr>
        <w:rPr>
          <w:rFonts w:hint="eastAsia"/>
          <w:lang w:val="zh-CN"/>
        </w:rPr>
      </w:pPr>
    </w:p>
    <w:p>
      <w:pPr>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br w:type="page"/>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rPr>
          <w:rFonts w:hint="eastAsia"/>
          <w:lang w:val="zh-CN"/>
        </w:rPr>
        <w:sectPr>
          <w:pgSz w:w="11906" w:h="16838"/>
          <w:pgMar w:top="1134" w:right="1134" w:bottom="1134" w:left="1134" w:header="851" w:footer="992" w:gutter="0"/>
          <w:cols w:space="720" w:num="1"/>
          <w:docGrid w:type="lines" w:linePitch="312" w:charSpace="0"/>
        </w:sectPr>
      </w:pPr>
    </w:p>
    <w:p>
      <w:pPr>
        <w:rPr>
          <w:rFonts w:hint="eastAsia"/>
          <w:lang w:val="zh-CN"/>
        </w:rPr>
      </w:pPr>
    </w:p>
    <w:p>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0" w:name="_Toc166549448"/>
      <w:bookmarkStart w:id="1" w:name="_Toc156815770"/>
      <w:bookmarkStart w:id="2" w:name="_Toc156196559"/>
      <w:bookmarkStart w:id="3" w:name="_Toc173677397"/>
      <w:bookmarkStart w:id="4" w:name="_Toc175017342"/>
      <w:bookmarkStart w:id="5" w:name="_Toc128229916"/>
      <w:bookmarkStart w:id="6" w:name="_Toc128229745"/>
      <w:bookmarkStart w:id="7" w:name="_Toc128229302"/>
      <w:bookmarkStart w:id="8" w:name="_Toc156196470"/>
      <w:bookmarkStart w:id="9" w:name="_Toc156730450"/>
      <w:bookmarkStart w:id="10" w:name="_Toc166139912"/>
      <w:r>
        <w:rPr>
          <w:rFonts w:hint="eastAsia" w:ascii="方正仿宋_GBK" w:hAnsi="方正仿宋_GBK" w:eastAsia="方正仿宋_GBK" w:cs="方正仿宋_GBK"/>
          <w:color w:val="auto"/>
          <w:sz w:val="32"/>
          <w:szCs w:val="32"/>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1" w:name="_Toc156815771"/>
      <w:bookmarkStart w:id="12" w:name="_Toc128229917"/>
      <w:bookmarkStart w:id="13" w:name="_Toc156730451"/>
      <w:bookmarkStart w:id="14" w:name="_Toc128229746"/>
      <w:bookmarkStart w:id="15" w:name="_Toc173677398"/>
      <w:bookmarkStart w:id="16" w:name="_Toc156196560"/>
      <w:bookmarkStart w:id="17" w:name="_Toc175017343"/>
      <w:bookmarkStart w:id="18" w:name="_Toc166549449"/>
      <w:bookmarkStart w:id="19" w:name="_Toc166139913"/>
      <w:bookmarkStart w:id="20" w:name="_Toc156196471"/>
      <w:bookmarkStart w:id="21" w:name="_Toc128229303"/>
      <w:r>
        <w:rPr>
          <w:rFonts w:hint="eastAsia" w:ascii="方正仿宋_GBK" w:hAnsi="方正仿宋_GBK" w:eastAsia="方正仿宋_GBK" w:cs="方正仿宋_GBK"/>
          <w:color w:val="auto"/>
          <w:sz w:val="32"/>
          <w:szCs w:val="32"/>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方正仿宋_GBK" w:hAnsi="方正仿宋_GBK" w:eastAsia="方正仿宋_GBK" w:cs="方正仿宋_GBK"/>
          <w:color w:val="auto"/>
          <w:sz w:val="32"/>
          <w:szCs w:val="32"/>
        </w:rPr>
        <w:t>：（公章）</w:t>
      </w:r>
    </w:p>
    <w:p>
      <w:pPr>
        <w:tabs>
          <w:tab w:val="left" w:pos="6300"/>
        </w:tabs>
        <w:adjustRightInd w:val="0"/>
        <w:snapToGrid w:val="0"/>
        <w:spacing w:line="360" w:lineRule="auto"/>
        <w:jc w:val="right"/>
        <w:rPr>
          <w:rFonts w:hint="eastAsia"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pPr>
        <w:rPr>
          <w:rFonts w:hint="eastAsia" w:ascii="仿宋_GB2312" w:hAnsi="宋体" w:eastAsia="仿宋_GB2312"/>
          <w:color w:val="auto"/>
          <w:sz w:val="24"/>
        </w:rPr>
      </w:pPr>
      <w:r>
        <w:rPr>
          <w:rFonts w:hint="eastAsia" w:ascii="仿宋_GB2312" w:hAnsi="宋体" w:eastAsia="仿宋_GB2312"/>
          <w:color w:val="auto"/>
          <w:sz w:val="24"/>
        </w:rPr>
        <w:br w:type="page"/>
      </w: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u w:val="single"/>
          <w:lang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重庆市璧山区人民医院</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pPr>
        <w:pStyle w:val="12"/>
        <w:numPr>
          <w:ilvl w:val="0"/>
          <w:numId w:val="0"/>
        </w:numPr>
        <w:tabs>
          <w:tab w:val="clear" w:pos="3600"/>
        </w:tabs>
        <w:ind w:left="2880" w:leftChars="0"/>
        <w:rPr>
          <w:rFonts w:hint="eastAsia"/>
        </w:rPr>
      </w:pPr>
    </w:p>
    <w:p>
      <w:pPr>
        <w:rPr>
          <w:rFonts w:hint="eastAsia"/>
        </w:rPr>
      </w:pPr>
    </w:p>
    <w:p>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pPr>
        <w:pStyle w:val="6"/>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6"/>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本公司经实地踏勘现场，查看图纸及采购公告等资料，已充分了解采购人的采购要求，按照市场公平竞争原则，自愿参与贵院本项目的竞价，并愿意承担由此产生的相关费用和商业风险。</w:t>
      </w:r>
    </w:p>
    <w:p>
      <w:pPr>
        <w:pStyle w:val="6"/>
        <w:numPr>
          <w:ilvl w:val="0"/>
          <w:numId w:val="5"/>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经慎重考虑，本公司完全响应和满足采购人的采购要求，愿意按照询价采购文件中的要求，对本项目进行改造施工，总报价为人民币大写：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该报价包含了采购人全费用清单的项目，以及完成本项目所需的安全文明措施费、人工费、材料费、税费、保险费、运输搬运费、场地清洁费等完成本项目的所有费用，并承诺规范施工自愿承担施工期间的安全责任。</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5．在整个询价采购过程中，我方若有违纪违规行为自愿接受相关法律处罚。</w:t>
      </w:r>
    </w:p>
    <w:p>
      <w:pPr>
        <w:pStyle w:val="6"/>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6"/>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sz w:val="32"/>
          <w:szCs w:val="32"/>
          <w:lang w:val="en-US" w:eastAsia="zh-CN"/>
        </w:rPr>
        <w:t>年  月   日</w:t>
      </w:r>
      <w:r>
        <w:rPr>
          <w:rFonts w:hint="eastAsia" w:ascii="仿宋_GB2312" w:hAnsi="宋体" w:eastAsia="仿宋_GB2312"/>
          <w:color w:val="auto"/>
          <w:sz w:val="24"/>
        </w:rPr>
        <w:t xml:space="preserve">        </w:t>
      </w:r>
    </w:p>
    <w:p>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56196472"/>
      <w:bookmarkStart w:id="24" w:name="_Toc128229747"/>
      <w:bookmarkStart w:id="25" w:name="_Toc128014297"/>
      <w:bookmarkStart w:id="26" w:name="_Toc175017344"/>
      <w:bookmarkStart w:id="27" w:name="_Toc237057793"/>
      <w:bookmarkStart w:id="28" w:name="_Toc173677399"/>
    </w:p>
    <w:bookmarkEnd w:id="22"/>
    <w:bookmarkEnd w:id="23"/>
    <w:bookmarkEnd w:id="24"/>
    <w:bookmarkEnd w:id="25"/>
    <w:bookmarkEnd w:id="26"/>
    <w:bookmarkEnd w:id="27"/>
    <w:bookmarkEnd w:id="28"/>
    <w:p>
      <w:pPr>
        <w:tabs>
          <w:tab w:val="left" w:pos="6300"/>
        </w:tabs>
        <w:adjustRightInd w:val="0"/>
        <w:snapToGrid w:val="0"/>
        <w:spacing w:line="360" w:lineRule="auto"/>
        <w:jc w:val="center"/>
        <w:rPr>
          <w:rFonts w:hint="eastAsia" w:ascii="仿宋" w:hAnsi="仿宋" w:eastAsia="仿宋"/>
          <w:b/>
          <w:snapToGrid w:val="0"/>
          <w:color w:val="auto"/>
          <w:kern w:val="0"/>
          <w:sz w:val="40"/>
          <w:szCs w:val="40"/>
          <w:lang w:val="en-US" w:eastAsia="zh-CN"/>
        </w:rPr>
      </w:pPr>
      <w:r>
        <w:rPr>
          <w:rFonts w:hint="eastAsia" w:ascii="仿宋" w:hAnsi="仿宋" w:eastAsia="仿宋"/>
          <w:b/>
          <w:snapToGrid w:val="0"/>
          <w:color w:val="auto"/>
          <w:kern w:val="0"/>
          <w:sz w:val="40"/>
          <w:szCs w:val="40"/>
          <w:lang w:val="en-US" w:eastAsia="zh-CN"/>
        </w:rPr>
        <w:t>分项报价表</w:t>
      </w:r>
    </w:p>
    <w:tbl>
      <w:tblPr>
        <w:tblStyle w:val="7"/>
        <w:tblW w:w="10684" w:type="dxa"/>
        <w:tblInd w:w="-9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100"/>
        <w:gridCol w:w="1941"/>
        <w:gridCol w:w="1300"/>
        <w:gridCol w:w="1457"/>
        <w:gridCol w:w="1086"/>
        <w:gridCol w:w="928"/>
        <w:gridCol w:w="158"/>
        <w:gridCol w:w="742"/>
        <w:gridCol w:w="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计算式</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拆除天棚筒灯、修复吊顶</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拆除天棚筒灯，石膏板修复灯孔</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开孔安装条形LED灯</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开灯孔，安装灯具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规格300*1200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天棚乳胶漆</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腻子找平，刷乳胶漆两遍</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100mm厚吸音棉隔墙</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轻钢龙骨双面石膏板夹芯吸音板隔墙基层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吸音棉隔墙冰火板饰面</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贴冰火板饰面层。</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7.2*3*2</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玻璃隔断</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钢化玻璃额隔断，铝合金包边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5.9*3.2+5.9*2.8</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墙顶包边</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架设龙骨基层，铺面板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内玻璃门</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拆除原玻璃墙面，安装钢化玻璃门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2.1*3.2*8mm</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拆除天棚玻璃隔帘</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拆除、弃运</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8" w:type="dxa"/>
          <w:trHeight w:val="480" w:hRule="atLeast"/>
        </w:trPr>
        <w:tc>
          <w:tcPr>
            <w:tcW w:w="9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300"/>
              </w:tabs>
              <w:adjustRightInd w:val="0"/>
              <w:snapToGrid w:val="0"/>
              <w:spacing w:line="360" w:lineRule="auto"/>
              <w:jc w:val="right"/>
              <w:rPr>
                <w:rFonts w:hint="default" w:ascii="仿宋" w:hAnsi="仿宋" w:eastAsia="仿宋"/>
                <w:b/>
                <w:snapToGrid w:val="0"/>
                <w:color w:val="auto"/>
                <w:kern w:val="0"/>
                <w:sz w:val="24"/>
                <w:lang w:val="en-US" w:eastAsia="zh-CN"/>
              </w:rPr>
            </w:pPr>
            <w:r>
              <w:rPr>
                <w:rFonts w:hint="eastAsia" w:ascii="宋体" w:hAnsi="宋体" w:eastAsia="宋体" w:cs="宋体"/>
                <w:i w:val="0"/>
                <w:iCs w:val="0"/>
                <w:color w:val="000000"/>
                <w:kern w:val="0"/>
                <w:sz w:val="24"/>
                <w:szCs w:val="24"/>
                <w:u w:val="none"/>
                <w:lang w:val="en-US" w:eastAsia="zh-CN" w:bidi="ar"/>
              </w:rPr>
              <w:t>合计</w:t>
            </w:r>
            <w:r>
              <w:rPr>
                <w:rFonts w:hint="eastAsia" w:ascii="仿宋" w:hAnsi="仿宋" w:eastAsia="仿宋"/>
                <w:b/>
                <w:snapToGrid w:val="0"/>
                <w:color w:val="auto"/>
                <w:kern w:val="0"/>
                <w:sz w:val="24"/>
                <w:lang w:val="en-US" w:eastAsia="zh-CN"/>
              </w:rPr>
              <w:t>（汇总报价不得超过总报价）</w:t>
            </w:r>
          </w:p>
          <w:p>
            <w:pPr>
              <w:jc w:val="right"/>
              <w:rPr>
                <w:rFonts w:hint="eastAsia" w:ascii="宋体" w:hAnsi="宋体" w:eastAsia="宋体" w:cs="宋体"/>
                <w:i w:val="0"/>
                <w:iCs w:val="0"/>
                <w:color w:val="000000"/>
                <w:sz w:val="24"/>
                <w:szCs w:val="24"/>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tabs>
          <w:tab w:val="left" w:pos="6300"/>
        </w:tabs>
        <w:adjustRightInd w:val="0"/>
        <w:snapToGrid w:val="0"/>
        <w:spacing w:line="360" w:lineRule="auto"/>
        <w:rPr>
          <w:rFonts w:ascii="仿宋" w:hAnsi="仿宋" w:eastAsia="仿宋"/>
          <w:b/>
          <w:snapToGrid w:val="0"/>
          <w:color w:val="auto"/>
          <w:kern w:val="0"/>
          <w:sz w:val="24"/>
        </w:rPr>
      </w:pPr>
    </w:p>
    <w:p>
      <w:pPr>
        <w:pStyle w:val="3"/>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b/>
          <w:snapToGrid w:val="0"/>
          <w:color w:val="auto"/>
          <w:kern w:val="0"/>
          <w:sz w:val="24"/>
          <w:lang w:val="en-US" w:eastAsia="zh-CN"/>
        </w:rPr>
        <w:br w:type="page"/>
      </w:r>
    </w:p>
    <w:p>
      <w:pPr>
        <w:snapToGrid w:val="0"/>
        <w:spacing w:line="400" w:lineRule="exact"/>
        <w:ind w:left="0" w:leftChars="0" w:firstLine="0" w:firstLineChars="0"/>
        <w:jc w:val="center"/>
        <w:rPr>
          <w:rFonts w:hint="eastAsia" w:ascii="宋体" w:hAnsi="宋体" w:cs="宋体"/>
          <w:color w:val="000000"/>
          <w:sz w:val="24"/>
          <w:szCs w:val="28"/>
        </w:rPr>
      </w:pPr>
      <w:r>
        <w:rPr>
          <w:rFonts w:hint="eastAsia" w:ascii="仿宋_GB2312" w:hAnsi="宋体" w:eastAsia="仿宋_GB2312" w:cs="宋体"/>
          <w:color w:val="auto"/>
          <w:sz w:val="32"/>
          <w:szCs w:val="32"/>
          <w:lang w:val="en-US" w:eastAsia="zh-CN"/>
        </w:rPr>
        <w:t>改造工程院内招采要求响应表</w:t>
      </w:r>
    </w:p>
    <w:tbl>
      <w:tblPr>
        <w:tblStyle w:val="7"/>
        <w:tblW w:w="5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56"/>
        <w:gridCol w:w="3343"/>
        <w:gridCol w:w="132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34" w:type="dxa"/>
            <w:noWrap w:val="0"/>
            <w:vAlign w:val="center"/>
          </w:tcPr>
          <w:p>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956"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内容</w:t>
            </w:r>
          </w:p>
        </w:tc>
        <w:tc>
          <w:tcPr>
            <w:tcW w:w="3343"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1325"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1478" w:type="dxa"/>
            <w:noWrap w:val="0"/>
            <w:vAlign w:val="center"/>
          </w:tcPr>
          <w:p>
            <w:pPr>
              <w:tabs>
                <w:tab w:val="left" w:pos="6300"/>
              </w:tabs>
              <w:snapToGrid w:val="0"/>
              <w:spacing w:line="50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附佐证材料页码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956" w:type="dxa"/>
            <w:noWrap w:val="0"/>
            <w:vAlign w:val="center"/>
          </w:tcPr>
          <w:p>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4"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2956"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3343"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325"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c>
          <w:tcPr>
            <w:tcW w:w="1478" w:type="dxa"/>
            <w:noWrap w:val="0"/>
            <w:vAlign w:val="center"/>
          </w:tcPr>
          <w:p>
            <w:pPr>
              <w:tabs>
                <w:tab w:val="left" w:pos="6300"/>
              </w:tabs>
              <w:snapToGrid w:val="0"/>
              <w:spacing w:line="500" w:lineRule="exact"/>
              <w:jc w:val="center"/>
              <w:rPr>
                <w:rFonts w:hint="eastAsia" w:ascii="宋体" w:hAnsi="宋体" w:cs="宋体"/>
                <w:color w:val="000000"/>
                <w:sz w:val="21"/>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1.本表</w:t>
      </w:r>
      <w:r>
        <w:rPr>
          <w:rFonts w:hint="eastAsia" w:ascii="宋体" w:hAnsi="宋体" w:cs="宋体"/>
          <w:color w:val="000000"/>
          <w:sz w:val="24"/>
          <w:szCs w:val="24"/>
          <w:lang w:val="en-US" w:eastAsia="zh-CN"/>
        </w:rPr>
        <w:t>请供应商逐项对照“改造工程院内招采要求”进行响应</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响应不全视为无效投标</w:t>
      </w:r>
      <w:r>
        <w:rPr>
          <w:rFonts w:hint="eastAsia" w:ascii="宋体" w:hAnsi="宋体" w:cs="宋体"/>
          <w:color w:val="000000"/>
          <w:sz w:val="24"/>
          <w:szCs w:val="24"/>
        </w:rPr>
        <w:t>；</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w:t>
      </w:r>
      <w:r>
        <w:rPr>
          <w:rFonts w:hint="eastAsia" w:ascii="宋体" w:hAnsi="宋体" w:cs="宋体"/>
          <w:color w:val="000000"/>
          <w:sz w:val="24"/>
          <w:szCs w:val="24"/>
          <w:lang w:val="en-US" w:eastAsia="zh-CN"/>
        </w:rPr>
        <w:t>佐证</w:t>
      </w:r>
      <w:r>
        <w:rPr>
          <w:rFonts w:hint="eastAsia" w:ascii="宋体" w:hAnsi="宋体" w:cs="宋体"/>
          <w:color w:val="000000"/>
          <w:sz w:val="24"/>
          <w:szCs w:val="24"/>
        </w:rPr>
        <w:t>支撑材料应附本表后。（格式自定）</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.偏离情况请填写“无偏离”、“正偏离”或“负偏离”。</w:t>
      </w:r>
    </w:p>
    <w:p>
      <w:pPr>
        <w:rPr>
          <w:rFonts w:hint="eastAsia" w:ascii="仿宋" w:hAnsi="仿宋" w:eastAsia="仿宋"/>
          <w:b/>
          <w:snapToGrid w:val="0"/>
          <w:color w:val="auto"/>
          <w:kern w:val="0"/>
          <w:sz w:val="24"/>
          <w:lang w:val="en-US" w:eastAsia="zh-CN"/>
        </w:rPr>
      </w:pP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7"/>
        <w:tblW w:w="81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4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4468"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Times New Roman" w:hAnsi="Times New Roman" w:eastAsia="方正仿宋_GBK" w:cs="Times New Roman"/>
          <w:b w:val="0"/>
          <w:bCs w:val="0"/>
          <w:color w:val="auto"/>
          <w:sz w:val="32"/>
          <w:szCs w:val="32"/>
          <w:lang w:val="en-US" w:eastAsia="zh-CN"/>
        </w:rPr>
        <w:t>注：供应商代表踏勘现场时，需向陪同人员出具供应商的介绍信或授权委托书和具有建筑工程</w:t>
      </w:r>
      <w:r>
        <w:rPr>
          <w:rFonts w:hint="default" w:ascii="Times New Roman" w:hAnsi="Times New Roman" w:eastAsia="方正仿宋_GBK" w:cs="Times New Roman"/>
          <w:b w:val="0"/>
          <w:bCs w:val="0"/>
          <w:color w:val="auto"/>
          <w:sz w:val="32"/>
          <w:szCs w:val="32"/>
          <w:lang w:val="en-US" w:eastAsia="zh-CN"/>
        </w:rPr>
        <w:t>专业总承包三级及以上</w:t>
      </w:r>
      <w:r>
        <w:rPr>
          <w:rFonts w:hint="eastAsia" w:ascii="Times New Roman" w:hAnsi="Times New Roman" w:eastAsia="方正仿宋_GBK" w:cs="Times New Roman"/>
          <w:b w:val="0"/>
          <w:bCs w:val="0"/>
          <w:color w:val="auto"/>
          <w:sz w:val="32"/>
          <w:szCs w:val="32"/>
          <w:lang w:val="en-US" w:eastAsia="zh-CN"/>
        </w:rPr>
        <w:t>资质。</w:t>
      </w: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3"/>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3"/>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响应文件包装及密封要求（</w:t>
      </w:r>
      <w:r>
        <w:rPr>
          <w:rFonts w:hint="eastAsia" w:ascii="仿宋_GB2312" w:eastAsia="仿宋_GB2312" w:cs="宋体"/>
          <w:color w:val="auto"/>
          <w:sz w:val="32"/>
          <w:szCs w:val="32"/>
          <w:lang w:val="en-US" w:eastAsia="zh-CN"/>
        </w:rPr>
        <w:t>正本一份、副本三份，一并装入密封档案袋中）</w:t>
      </w:r>
    </w:p>
    <w:p>
      <w:pPr>
        <w:rPr>
          <w:rFonts w:hint="default"/>
          <w:lang w:val="en-US" w:eastAsia="zh-CN"/>
        </w:rPr>
      </w:pPr>
      <w:r>
        <w:rPr>
          <w:rFonts w:hint="default"/>
          <w:lang w:val="en-US" w:eastAsia="zh-CN"/>
        </w:rPr>
        <w:drawing>
          <wp:inline distT="0" distB="0" distL="114300" distR="114300">
            <wp:extent cx="2766695" cy="3610610"/>
            <wp:effectExtent l="0" t="0" r="14605" b="8890"/>
            <wp:docPr id="5"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王静-采购办\Desktop\微信图片_20240320084311.jpg微信图片_20240320084311"/>
                    <pic:cNvPicPr>
                      <a:picLocks noChangeAspect="1"/>
                    </pic:cNvPicPr>
                  </pic:nvPicPr>
                  <pic:blipFill>
                    <a:blip r:embed="rId6"/>
                    <a:stretch>
                      <a:fillRect/>
                    </a:stretch>
                  </pic:blipFill>
                  <pic:spPr>
                    <a:xfrm>
                      <a:off x="0" y="0"/>
                      <a:ext cx="2766695" cy="3610610"/>
                    </a:xfrm>
                    <a:prstGeom prst="rect">
                      <a:avLst/>
                    </a:prstGeom>
                    <a:noFill/>
                    <a:ln>
                      <a:noFill/>
                    </a:ln>
                  </pic:spPr>
                </pic:pic>
              </a:graphicData>
            </a:graphic>
          </wp:inline>
        </w:drawing>
      </w:r>
      <w:r>
        <w:rPr>
          <w:rFonts w:hint="default"/>
          <w:lang w:val="en-US" w:eastAsia="zh-CN"/>
        </w:rPr>
        <w:drawing>
          <wp:inline distT="0" distB="0" distL="114300" distR="114300">
            <wp:extent cx="2776855" cy="3539490"/>
            <wp:effectExtent l="0" t="0" r="4445" b="3810"/>
            <wp:docPr id="4"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40320084137"/>
                    <pic:cNvPicPr>
                      <a:picLocks noChangeAspect="1"/>
                    </pic:cNvPicPr>
                  </pic:nvPicPr>
                  <pic:blipFill>
                    <a:blip r:embed="rId7"/>
                    <a:stretch>
                      <a:fillRect/>
                    </a:stretch>
                  </pic:blipFill>
                  <pic:spPr>
                    <a:xfrm>
                      <a:off x="0" y="0"/>
                      <a:ext cx="2776855" cy="3539490"/>
                    </a:xfrm>
                    <a:prstGeom prst="rect">
                      <a:avLst/>
                    </a:prstGeom>
                    <a:noFill/>
                    <a:ln>
                      <a:noFill/>
                    </a:ln>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4B08E"/>
    <w:multiLevelType w:val="singleLevel"/>
    <w:tmpl w:val="DF44B08E"/>
    <w:lvl w:ilvl="0" w:tentative="0">
      <w:start w:val="1"/>
      <w:numFmt w:val="decimal"/>
      <w:suff w:val="nothing"/>
      <w:lvlText w:val="%1．"/>
      <w:lvlJc w:val="left"/>
    </w:lvl>
  </w:abstractNum>
  <w:abstractNum w:abstractNumId="1">
    <w:nsid w:val="E9585364"/>
    <w:multiLevelType w:val="singleLevel"/>
    <w:tmpl w:val="E9585364"/>
    <w:lvl w:ilvl="0" w:tentative="0">
      <w:start w:val="6"/>
      <w:numFmt w:val="chineseCounting"/>
      <w:suff w:val="nothing"/>
      <w:lvlText w:val="（%1）"/>
      <w:lvlJc w:val="left"/>
      <w:rPr>
        <w:rFonts w:hint="eastAsia"/>
      </w:rPr>
    </w:lvl>
  </w:abstractNum>
  <w:abstractNum w:abstractNumId="2">
    <w:nsid w:val="1826D88A"/>
    <w:multiLevelType w:val="singleLevel"/>
    <w:tmpl w:val="1826D88A"/>
    <w:lvl w:ilvl="0" w:tentative="0">
      <w:start w:val="1"/>
      <w:numFmt w:val="chineseCounting"/>
      <w:suff w:val="nothing"/>
      <w:lvlText w:val="（%1）"/>
      <w:lvlJc w:val="left"/>
      <w:rPr>
        <w:rFonts w:hint="eastAsia"/>
      </w:rPr>
    </w:lvl>
  </w:abstractNum>
  <w:abstractNum w:abstractNumId="3">
    <w:nsid w:val="2DCA21F7"/>
    <w:multiLevelType w:val="singleLevel"/>
    <w:tmpl w:val="2DCA21F7"/>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1E0B"/>
    <w:rsid w:val="0CE64C8D"/>
    <w:rsid w:val="1AF86BE0"/>
    <w:rsid w:val="1CF00EFC"/>
    <w:rsid w:val="236757CC"/>
    <w:rsid w:val="27F8717E"/>
    <w:rsid w:val="2FF975F4"/>
    <w:rsid w:val="33FB61AD"/>
    <w:rsid w:val="456871FC"/>
    <w:rsid w:val="4C31315D"/>
    <w:rsid w:val="5D7D5DA6"/>
    <w:rsid w:val="61143219"/>
    <w:rsid w:val="65B3610E"/>
    <w:rsid w:val="6CF079E3"/>
    <w:rsid w:val="6DD05A39"/>
    <w:rsid w:val="73243C61"/>
    <w:rsid w:val="77C80239"/>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6">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character" w:customStyle="1" w:styleId="9">
    <w:name w:val="font91"/>
    <w:basedOn w:val="8"/>
    <w:qFormat/>
    <w:uiPriority w:val="0"/>
    <w:rPr>
      <w:rFonts w:ascii="楷体" w:hAnsi="楷体" w:eastAsia="楷体" w:cs="楷体"/>
      <w:color w:val="000000"/>
      <w:sz w:val="22"/>
      <w:szCs w:val="22"/>
      <w:u w:val="none"/>
      <w:vertAlign w:val="superscript"/>
    </w:rPr>
  </w:style>
  <w:style w:type="paragraph" w:customStyle="1" w:styleId="10">
    <w:name w:val="普通(网站)1"/>
    <w:basedOn w:val="1"/>
    <w:qFormat/>
    <w:uiPriority w:val="0"/>
    <w:rPr>
      <w:rFonts w:ascii="宋体" w:hAnsi="宋体" w:cs="宋体"/>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1726</Words>
  <Characters>1918</Characters>
  <Lines>0</Lines>
  <Paragraphs>0</Paragraphs>
  <TotalTime>1</TotalTime>
  <ScaleCrop>false</ScaleCrop>
  <LinksUpToDate>false</LinksUpToDate>
  <CharactersWithSpaces>2432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王文君</cp:lastModifiedBy>
  <dcterms:modified xsi:type="dcterms:W3CDTF">2025-04-08T06:42:44Z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64A2EDB53A9A47AA9768E9AD513D585E</vt:lpwstr>
  </property>
  <property fmtid="{D5CDD505-2E9C-101B-9397-08002B2CF9AE}" pid="4" name="KSOTemplateDocerSaveRecord">
    <vt:lpwstr>eyJoZGlkIjoiNzliNmRkY2YyN2FjZDQwMDgzZGM4ZDZkNTA3MTFmNGMiLCJ1c2VySWQiOiIxNjE2MTQ1MTM5In0=</vt:lpwstr>
  </property>
</Properties>
</file>