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项目名称：第二批献血纪念品等物资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项目编号：BSRMYY-YNCG-2024-06012</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bookmarkStart w:id="31" w:name="_GoBack"/>
      <w:bookmarkEnd w:id="31"/>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4378"/>
        <w:gridCol w:w="1063"/>
        <w:gridCol w:w="98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推荐</w:t>
            </w:r>
            <w:r>
              <w:rPr>
                <w:rFonts w:hint="default" w:ascii="Times New Roman" w:hAnsi="Times New Roman" w:eastAsia="仿宋" w:cs="Times New Roman"/>
                <w:b/>
                <w:kern w:val="0"/>
                <w:sz w:val="24"/>
                <w:szCs w:val="24"/>
              </w:rPr>
              <w:t>产品</w:t>
            </w:r>
          </w:p>
        </w:tc>
        <w:tc>
          <w:tcPr>
            <w:tcW w:w="4378"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6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规格</w:t>
            </w:r>
          </w:p>
        </w:tc>
        <w:tc>
          <w:tcPr>
            <w:tcW w:w="980"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612"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希乐（保温杯）</w:t>
            </w:r>
          </w:p>
        </w:tc>
        <w:tc>
          <w:tcPr>
            <w:tcW w:w="4378"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4色可选；杯体内316材质，外204材质，盖PP材质；开合自如滴水不漏；隐藏提手；含滤网；喷漆时尚；杯底防滑；</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500ML</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45</w:t>
            </w:r>
          </w:p>
        </w:tc>
        <w:tc>
          <w:tcPr>
            <w:tcW w:w="1612"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drawing>
                <wp:inline distT="0" distB="0" distL="114300" distR="114300">
                  <wp:extent cx="838200" cy="827405"/>
                  <wp:effectExtent l="0" t="0" r="0" b="10795"/>
                  <wp:docPr id="3" name="图片 2" descr="希乐XB-2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希乐XB-22172"/>
                          <pic:cNvPicPr>
                            <a:picLocks noChangeAspect="1"/>
                          </pic:cNvPicPr>
                        </pic:nvPicPr>
                        <pic:blipFill>
                          <a:blip r:embed="rId4" cstate="print"/>
                          <a:stretch>
                            <a:fillRect/>
                          </a:stretch>
                        </pic:blipFill>
                        <pic:spPr>
                          <a:xfrm>
                            <a:off x="0" y="0"/>
                            <a:ext cx="838200" cy="8274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炊大皇（保鲜盒）</w:t>
            </w:r>
          </w:p>
        </w:tc>
        <w:tc>
          <w:tcPr>
            <w:tcW w:w="4378"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304不锈钢材质；负压微真空；不易染色；记录日期；金属导冷快；密封性好；360°防漏；可高温</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1100ML</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44.9</w:t>
            </w:r>
          </w:p>
        </w:tc>
        <w:tc>
          <w:tcPr>
            <w:tcW w:w="1612" w:type="dxa"/>
            <w:vAlign w:val="top"/>
          </w:tcPr>
          <w:p>
            <w:pPr>
              <w:jc w:val="center"/>
              <w:rPr>
                <w:rFonts w:hint="default" w:eastAsiaTheme="minorEastAsia"/>
                <w:sz w:val="32"/>
                <w:szCs w:val="32"/>
                <w:lang w:val="en-US" w:eastAsia="zh-CN"/>
              </w:rPr>
            </w:pPr>
            <w:r>
              <w:drawing>
                <wp:inline distT="0" distB="0" distL="114300" distR="114300">
                  <wp:extent cx="915670" cy="919480"/>
                  <wp:effectExtent l="0" t="0" r="17780" b="13970"/>
                  <wp:docPr id="4" name="图片 3" descr="炊大皇110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炊大皇1100ML"/>
                          <pic:cNvPicPr>
                            <a:picLocks noChangeAspect="1"/>
                          </pic:cNvPicPr>
                        </pic:nvPicPr>
                        <pic:blipFill>
                          <a:blip r:embed="rId5" cstate="print"/>
                          <a:stretch>
                            <a:fillRect/>
                          </a:stretch>
                        </pic:blipFill>
                        <pic:spPr>
                          <a:xfrm>
                            <a:off x="0" y="0"/>
                            <a:ext cx="915670" cy="919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希乐（保温饭盒）</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316不锈钢；可微波加热；隐藏把手；防密封防漏；中控隔热防烫层；加厚PP外壳；内外胆可拆分</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600ML+440ML</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46.9</w:t>
            </w:r>
          </w:p>
        </w:tc>
        <w:tc>
          <w:tcPr>
            <w:tcW w:w="1612" w:type="dxa"/>
            <w:vAlign w:val="top"/>
          </w:tcPr>
          <w:p>
            <w:pPr>
              <w:jc w:val="center"/>
              <w:rPr>
                <w:rFonts w:hint="default"/>
                <w:sz w:val="32"/>
                <w:szCs w:val="32"/>
                <w:lang w:val="en-US"/>
              </w:rPr>
            </w:pPr>
            <w:r>
              <w:drawing>
                <wp:inline distT="0" distB="0" distL="114300" distR="114300">
                  <wp:extent cx="898525" cy="1024890"/>
                  <wp:effectExtent l="0" t="0" r="15875" b="3810"/>
                  <wp:docPr id="5" name="图片 4" descr="希乐（保温饭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希乐（保温饭盒）"/>
                          <pic:cNvPicPr>
                            <a:picLocks noChangeAspect="1"/>
                          </pic:cNvPicPr>
                        </pic:nvPicPr>
                        <pic:blipFill>
                          <a:blip r:embed="rId6" cstate="print"/>
                          <a:stretch>
                            <a:fillRect/>
                          </a:stretch>
                        </pic:blipFill>
                        <pic:spPr>
                          <a:xfrm>
                            <a:off x="0" y="0"/>
                            <a:ext cx="898525" cy="1024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物生物（保温杯）</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6色可选；8层守护；便携提手；细腻云握感；360°防漏；</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500ML</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39.9</w:t>
            </w:r>
          </w:p>
        </w:tc>
        <w:tc>
          <w:tcPr>
            <w:tcW w:w="1612" w:type="dxa"/>
            <w:vAlign w:val="top"/>
          </w:tcPr>
          <w:p>
            <w:pPr>
              <w:jc w:val="center"/>
              <w:rPr>
                <w:rFonts w:hint="eastAsia"/>
                <w:sz w:val="32"/>
                <w:szCs w:val="32"/>
              </w:rPr>
            </w:pPr>
            <w:r>
              <w:drawing>
                <wp:inline distT="0" distB="0" distL="114300" distR="114300">
                  <wp:extent cx="828675" cy="831850"/>
                  <wp:effectExtent l="0" t="0" r="9525" b="6350"/>
                  <wp:docPr id="20" name="图片 19" descr="物生物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物生物2"/>
                          <pic:cNvPicPr>
                            <a:picLocks noChangeAspect="1"/>
                          </pic:cNvPicPr>
                        </pic:nvPicPr>
                        <pic:blipFill>
                          <a:blip r:embed="rId7" cstate="print"/>
                          <a:stretch>
                            <a:fillRect/>
                          </a:stretch>
                        </pic:blipFill>
                        <pic:spPr>
                          <a:xfrm>
                            <a:off x="0" y="0"/>
                            <a:ext cx="828675" cy="831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物生物（保温杯）</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11色可选；抗菌率99.8%；316L内胆；舒适提拎，外出方便带;UP保温杯</w:t>
            </w:r>
          </w:p>
        </w:tc>
        <w:tc>
          <w:tcPr>
            <w:tcW w:w="1063"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550ML</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49.9</w:t>
            </w:r>
          </w:p>
        </w:tc>
        <w:tc>
          <w:tcPr>
            <w:tcW w:w="1612" w:type="dxa"/>
            <w:vAlign w:val="top"/>
          </w:tcPr>
          <w:p>
            <w:pPr>
              <w:jc w:val="center"/>
              <w:rPr>
                <w:rFonts w:hint="eastAsia"/>
                <w:sz w:val="32"/>
                <w:szCs w:val="32"/>
              </w:rPr>
            </w:pPr>
            <w:r>
              <w:drawing>
                <wp:inline distT="0" distB="0" distL="114300" distR="114300">
                  <wp:extent cx="829945" cy="833120"/>
                  <wp:effectExtent l="0" t="0" r="8255" b="5080"/>
                  <wp:docPr id="19" name="图片 18" descr="物生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物生物1"/>
                          <pic:cNvPicPr>
                            <a:picLocks noChangeAspect="1"/>
                          </pic:cNvPicPr>
                        </pic:nvPicPr>
                        <pic:blipFill>
                          <a:blip r:embed="rId8" cstate="print"/>
                          <a:stretch>
                            <a:fillRect/>
                          </a:stretch>
                        </pic:blipFill>
                        <pic:spPr>
                          <a:xfrm>
                            <a:off x="0" y="0"/>
                            <a:ext cx="829945" cy="8331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KING SHORE(毛巾)</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双色可选；105g纯棉；缎边：卡通；材质：乌兹别克斯坦长绒棉</w:t>
            </w:r>
          </w:p>
        </w:tc>
        <w:tc>
          <w:tcPr>
            <w:tcW w:w="1063"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2条装</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23</w:t>
            </w:r>
          </w:p>
        </w:tc>
        <w:tc>
          <w:tcPr>
            <w:tcW w:w="1612" w:type="dxa"/>
            <w:vAlign w:val="top"/>
          </w:tcPr>
          <w:p>
            <w:pPr>
              <w:jc w:val="center"/>
              <w:rPr>
                <w:rFonts w:hint="eastAsia" w:ascii="Times New Roman" w:hAnsi="Times New Roman" w:eastAsia="仿宋" w:cs="Times New Roman"/>
                <w:b/>
                <w:kern w:val="0"/>
                <w:sz w:val="24"/>
                <w:szCs w:val="24"/>
                <w:lang w:val="en-US" w:eastAsia="zh-CN"/>
              </w:rPr>
            </w:pPr>
            <w:r>
              <w:drawing>
                <wp:inline distT="0" distB="0" distL="114300" distR="114300">
                  <wp:extent cx="940435" cy="1112520"/>
                  <wp:effectExtent l="0" t="0" r="12065" b="11430"/>
                  <wp:docPr id="10" name="图片 9" descr="金号（KING SHORE）毛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金号（KING SHORE）毛巾"/>
                          <pic:cNvPicPr>
                            <a:picLocks noChangeAspect="1"/>
                          </pic:cNvPicPr>
                        </pic:nvPicPr>
                        <pic:blipFill>
                          <a:blip r:embed="rId9" cstate="print"/>
                          <a:stretch>
                            <a:fillRect/>
                          </a:stretch>
                        </pic:blipFill>
                        <pic:spPr>
                          <a:xfrm>
                            <a:off x="0" y="0"/>
                            <a:ext cx="940435" cy="11125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romoss三合一快充数据线</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伸缩式，一拖三,三色可选，输入接口类型：Lighting Type-C USB2.0,输出接口类型：Micro USB Type-C Apple Lighting</w:t>
            </w:r>
          </w:p>
        </w:tc>
        <w:tc>
          <w:tcPr>
            <w:tcW w:w="1063"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1.1米</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28</w:t>
            </w:r>
          </w:p>
        </w:tc>
        <w:tc>
          <w:tcPr>
            <w:tcW w:w="1612" w:type="dxa"/>
            <w:vAlign w:val="top"/>
          </w:tcPr>
          <w:p>
            <w:pPr>
              <w:jc w:val="center"/>
              <w:rPr>
                <w:rFonts w:hint="eastAsia" w:ascii="Times New Roman" w:hAnsi="Times New Roman" w:eastAsia="仿宋" w:cs="Times New Roman"/>
                <w:b/>
                <w:kern w:val="0"/>
                <w:sz w:val="24"/>
                <w:szCs w:val="24"/>
                <w:lang w:val="en-US" w:eastAsia="zh-CN"/>
              </w:rPr>
            </w:pPr>
            <w:r>
              <w:drawing>
                <wp:inline distT="0" distB="0" distL="114300" distR="114300">
                  <wp:extent cx="831215" cy="871855"/>
                  <wp:effectExtent l="0" t="0" r="6985" b="444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0" cstate="print"/>
                          <a:srcRect/>
                          <a:stretch>
                            <a:fillRect/>
                          </a:stretch>
                        </pic:blipFill>
                        <pic:spPr>
                          <a:xfrm>
                            <a:off x="0" y="0"/>
                            <a:ext cx="831215" cy="871855"/>
                          </a:xfrm>
                          <a:prstGeom prst="rect">
                            <a:avLst/>
                          </a:prstGeom>
                          <a:noFill/>
                          <a:ln w="1">
                            <a:noFill/>
                            <a:miter lim="800000"/>
                            <a:headEnd/>
                            <a:tailEnd type="none" w="med" len="me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熊猫倒计时小夜灯台历</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木质底座（15*4.5*3CM)，灯板材质：亚克力板(18*17.5CM)，电源线长度约1.4米，供电方式：USB插电开关，礼盒尺寸：18*18**3.5CM,可定制LOGO</w:t>
            </w:r>
          </w:p>
        </w:tc>
        <w:tc>
          <w:tcPr>
            <w:tcW w:w="1063" w:type="dxa"/>
            <w:vAlign w:val="center"/>
          </w:tcPr>
          <w:p>
            <w:pPr>
              <w:jc w:val="center"/>
              <w:rPr>
                <w:rFonts w:hint="eastAsia" w:ascii="Times New Roman" w:hAnsi="Times New Roman" w:eastAsia="仿宋" w:cs="Times New Roman"/>
                <w:b/>
                <w:kern w:val="0"/>
                <w:sz w:val="24"/>
                <w:szCs w:val="24"/>
                <w:lang w:val="en-US" w:eastAsia="zh-CN" w:bidi="ar-SA"/>
              </w:rPr>
            </w:pP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30</w:t>
            </w:r>
          </w:p>
        </w:tc>
        <w:tc>
          <w:tcPr>
            <w:tcW w:w="1612" w:type="dxa"/>
            <w:vAlign w:val="top"/>
          </w:tcPr>
          <w:p>
            <w:pPr>
              <w:jc w:val="center"/>
              <w:rPr>
                <w:rFonts w:hint="eastAsia" w:ascii="Times New Roman" w:hAnsi="Times New Roman" w:eastAsia="仿宋" w:cs="Times New Roman"/>
                <w:b/>
                <w:kern w:val="0"/>
                <w:sz w:val="24"/>
                <w:szCs w:val="24"/>
                <w:lang w:val="en-US" w:eastAsia="zh-CN"/>
              </w:rPr>
            </w:pPr>
            <w:r>
              <w:drawing>
                <wp:inline distT="0" distB="0" distL="114300" distR="114300">
                  <wp:extent cx="895985" cy="836295"/>
                  <wp:effectExtent l="0" t="0" r="18415" b="190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a:xfrm>
                            <a:off x="0" y="0"/>
                            <a:ext cx="895985" cy="836295"/>
                          </a:xfrm>
                          <a:prstGeom prst="rect">
                            <a:avLst/>
                          </a:prstGeom>
                          <a:noFill/>
                          <a:ln w="1">
                            <a:noFill/>
                            <a:miter lim="800000"/>
                            <a:headEnd/>
                            <a:tailEnd type="none" w="med" len="me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1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JUST A MAN背包</w:t>
            </w:r>
          </w:p>
        </w:tc>
        <w:tc>
          <w:tcPr>
            <w:tcW w:w="4378"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材质：外尼龙+网、内涤纶；黑、浅灰双色；</w:t>
            </w:r>
          </w:p>
        </w:tc>
        <w:tc>
          <w:tcPr>
            <w:tcW w:w="1063"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45*35*14cm</w:t>
            </w:r>
          </w:p>
        </w:tc>
        <w:tc>
          <w:tcPr>
            <w:tcW w:w="980"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45</w:t>
            </w:r>
          </w:p>
        </w:tc>
        <w:tc>
          <w:tcPr>
            <w:tcW w:w="1612" w:type="dxa"/>
            <w:vAlign w:val="top"/>
          </w:tcPr>
          <w:p>
            <w:pPr>
              <w:jc w:val="center"/>
              <w:rPr>
                <w:rFonts w:hint="eastAsia" w:ascii="Times New Roman" w:hAnsi="Times New Roman" w:eastAsia="仿宋" w:cs="Times New Roman"/>
                <w:b/>
                <w:kern w:val="0"/>
                <w:sz w:val="24"/>
                <w:szCs w:val="24"/>
                <w:lang w:val="en-US" w:eastAsia="zh-CN"/>
              </w:rPr>
            </w:pPr>
            <w:r>
              <w:drawing>
                <wp:inline distT="0" distB="0" distL="114300" distR="114300">
                  <wp:extent cx="943610" cy="955675"/>
                  <wp:effectExtent l="0" t="0" r="8890" b="15875"/>
                  <wp:docPr id="16" name="图片 15" descr="推荐背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推荐背包1"/>
                          <pic:cNvPicPr>
                            <a:picLocks noChangeAspect="1"/>
                          </pic:cNvPicPr>
                        </pic:nvPicPr>
                        <pic:blipFill>
                          <a:blip r:embed="rId12" cstate="print"/>
                          <a:stretch>
                            <a:fillRect/>
                          </a:stretch>
                        </pic:blipFill>
                        <pic:spPr>
                          <a:xfrm>
                            <a:off x="0" y="0"/>
                            <a:ext cx="943610" cy="9556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合同期限3年，以实际送货量据实结算。</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交付期限：合同</w:t>
            </w:r>
            <w:r>
              <w:rPr>
                <w:rFonts w:hint="eastAsia" w:ascii="方正仿宋_GBK" w:hAnsi="方正仿宋_GBK" w:eastAsia="方正仿宋_GBK" w:cs="方正仿宋_GBK"/>
                <w:sz w:val="24"/>
                <w:szCs w:val="24"/>
                <w:lang w:eastAsia="zh-CN"/>
              </w:rPr>
              <w:t>期间</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u w:val="single"/>
                <w:lang w:val="en-US" w:eastAsia="zh-CN"/>
              </w:rPr>
              <w:t>1</w:t>
            </w:r>
            <w:r>
              <w:rPr>
                <w:rFonts w:hint="eastAsia" w:ascii="方正仿宋_GBK" w:hAnsi="方正仿宋_GBK" w:eastAsia="方正仿宋_GBK" w:cs="方正仿宋_GBK"/>
                <w:b/>
                <w:bCs/>
                <w:sz w:val="24"/>
                <w:szCs w:val="24"/>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产品总折扣率（</w:t>
                  </w:r>
                  <w:r>
                    <w:rPr>
                      <w:rFonts w:hint="eastAsia" w:ascii="仿宋" w:hAnsi="仿宋" w:eastAsia="仿宋" w:cs="仿宋"/>
                      <w:b/>
                      <w:bCs/>
                      <w:i w:val="0"/>
                      <w:caps w:val="0"/>
                      <w:color w:val="555555"/>
                      <w:spacing w:val="0"/>
                      <w:kern w:val="0"/>
                      <w:sz w:val="32"/>
                      <w:szCs w:val="32"/>
                      <w:vertAlign w:val="baseline"/>
                      <w:lang w:val="en-US" w:eastAsia="zh-CN" w:bidi="ar"/>
                    </w:rPr>
                    <w:t>%</w:t>
                  </w:r>
                  <w:r>
                    <w:rPr>
                      <w:rFonts w:hint="eastAsia" w:ascii="仿宋" w:hAnsi="仿宋" w:eastAsia="仿宋" w:cs="仿宋"/>
                      <w:b/>
                      <w:bCs/>
                      <w:i w:val="0"/>
                      <w:caps w:val="0"/>
                      <w:color w:val="555555"/>
                      <w:spacing w:val="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1</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2</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3</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4</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5</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6</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7</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8</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r>
                    <w:rPr>
                      <w:rFonts w:hint="eastAsia" w:ascii="仿宋" w:hAnsi="仿宋" w:eastAsia="仿宋" w:cs="仿宋"/>
                      <w:b/>
                      <w:bCs/>
                      <w:i w:val="0"/>
                      <w:caps w:val="0"/>
                      <w:color w:val="555555"/>
                      <w:spacing w:val="0"/>
                      <w:kern w:val="0"/>
                      <w:sz w:val="32"/>
                      <w:szCs w:val="32"/>
                      <w:vertAlign w:val="baseline"/>
                      <w:lang w:val="en-US" w:eastAsia="zh-CN" w:bidi="ar"/>
                    </w:rPr>
                    <w:t>9</w:t>
                  </w: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注意：技术参数请在投标产品相关资料中提供佐证材料。成交价=限价*折扣率。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139912"/>
      <w:bookmarkStart w:id="3" w:name="_Toc166549448"/>
      <w:bookmarkStart w:id="4" w:name="_Toc128229745"/>
      <w:bookmarkStart w:id="5" w:name="_Toc128229916"/>
      <w:bookmarkStart w:id="6" w:name="_Toc156730450"/>
      <w:bookmarkStart w:id="7" w:name="_Toc156815770"/>
      <w:bookmarkStart w:id="8" w:name="_Toc156196470"/>
      <w:bookmarkStart w:id="9" w:name="_Toc173677397"/>
      <w:bookmarkStart w:id="10" w:name="_Toc128229302"/>
      <w:bookmarkStart w:id="11" w:name="_Toc175017342"/>
      <w:bookmarkStart w:id="12" w:name="_Toc156196559"/>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75017343"/>
      <w:bookmarkStart w:id="15" w:name="_Toc173677398"/>
      <w:bookmarkStart w:id="16" w:name="_Toc156730451"/>
      <w:bookmarkStart w:id="17" w:name="_Toc166139913"/>
      <w:bookmarkStart w:id="18" w:name="_Toc128229303"/>
      <w:bookmarkStart w:id="19" w:name="_Toc156815771"/>
      <w:bookmarkStart w:id="20" w:name="_Toc156196471"/>
      <w:bookmarkStart w:id="21" w:name="_Toc166549449"/>
      <w:bookmarkStart w:id="22" w:name="_Toc128229746"/>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75017344"/>
      <w:bookmarkStart w:id="25" w:name="_Toc237057793"/>
      <w:bookmarkStart w:id="26" w:name="_Toc128229747"/>
      <w:bookmarkStart w:id="27" w:name="_Toc128014297"/>
      <w:bookmarkStart w:id="28" w:name="_Toc128229304"/>
      <w:bookmarkStart w:id="29" w:name="_Toc156196472"/>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13"/>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14"/>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D8263F7"/>
    <w:rsid w:val="44C5770F"/>
    <w:rsid w:val="44EF71C4"/>
    <w:rsid w:val="482D6FF9"/>
    <w:rsid w:val="496140CE"/>
    <w:rsid w:val="4AE139DB"/>
    <w:rsid w:val="4BDB0A24"/>
    <w:rsid w:val="4C31315D"/>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7</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2024-06-21T09:23:45Z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