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3459A77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项目名称：细胞样本的10X单细胞转录组+VDJ测序及真核有参转录组测序等服务（第二次</w:t>
      </w:r>
      <w:bookmarkStart w:id="7" w:name="_GoBack"/>
      <w:bookmarkEnd w:id="7"/>
      <w:r>
        <w:rPr>
          <w:rFonts w:hint="eastAsia"/>
          <w:sz w:val="44"/>
          <w:szCs w:val="44"/>
          <w:highlight w:val="none"/>
          <w:lang w:val="en-US" w:eastAsia="zh-CN"/>
        </w:rPr>
        <w:t xml:space="preserve">） </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项目编号：BSRMYY-YNCG-2025-06006</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EF66B1B">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289BFCFF">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16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93"/>
        <w:gridCol w:w="4013"/>
        <w:gridCol w:w="1964"/>
        <w:gridCol w:w="2005"/>
        <w:gridCol w:w="1295"/>
      </w:tblGrid>
      <w:tr w14:paraId="169581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trPr>
        <w:tc>
          <w:tcPr>
            <w:tcW w:w="439"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972"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965"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样本数量（个）</w:t>
            </w:r>
          </w:p>
        </w:tc>
        <w:tc>
          <w:tcPr>
            <w:tcW w:w="985" w:type="pct"/>
            <w:vAlign w:val="center"/>
          </w:tcPr>
          <w:p w14:paraId="1DD772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636" w:type="pct"/>
            <w:vAlign w:val="center"/>
          </w:tcPr>
          <w:p w14:paraId="3CF0531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总价（元）</w:t>
            </w:r>
          </w:p>
        </w:tc>
      </w:tr>
      <w:tr w14:paraId="1D3BAC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0" w:hRule="atLeast"/>
        </w:trPr>
        <w:tc>
          <w:tcPr>
            <w:tcW w:w="439" w:type="pct"/>
            <w:vAlign w:val="center"/>
          </w:tcPr>
          <w:p w14:paraId="7B8BEA79">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1</w:t>
            </w:r>
          </w:p>
        </w:tc>
        <w:tc>
          <w:tcPr>
            <w:tcW w:w="1972" w:type="pct"/>
            <w:vAlign w:val="center"/>
          </w:tcPr>
          <w:p w14:paraId="3EF1225C">
            <w:pPr>
              <w:jc w:val="left"/>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组织解离+高通量10X单细胞转录组测序（TCR+BCR+5’ 端测序）建库+100G+10G测序+标准分析</w:t>
            </w:r>
          </w:p>
        </w:tc>
        <w:tc>
          <w:tcPr>
            <w:tcW w:w="965"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3</w:t>
            </w:r>
          </w:p>
        </w:tc>
        <w:tc>
          <w:tcPr>
            <w:tcW w:w="985" w:type="pct"/>
            <w:vAlign w:val="center"/>
          </w:tcPr>
          <w:p w14:paraId="149AD5D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9000</w:t>
            </w:r>
          </w:p>
        </w:tc>
        <w:tc>
          <w:tcPr>
            <w:tcW w:w="636" w:type="pct"/>
            <w:vMerge w:val="restart"/>
            <w:vAlign w:val="center"/>
          </w:tcPr>
          <w:p w14:paraId="08109B9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57000</w:t>
            </w:r>
          </w:p>
        </w:tc>
      </w:tr>
      <w:tr w14:paraId="402DF8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439" w:type="pct"/>
            <w:vAlign w:val="center"/>
          </w:tcPr>
          <w:p w14:paraId="05077BD9">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2</w:t>
            </w:r>
          </w:p>
        </w:tc>
        <w:tc>
          <w:tcPr>
            <w:tcW w:w="1972" w:type="pct"/>
            <w:vAlign w:val="center"/>
          </w:tcPr>
          <w:p w14:paraId="111B1086">
            <w:pPr>
              <w:jc w:val="left"/>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核酸提取+真核有参转录组建库(PolyA)+6G测序+标准分析</w:t>
            </w:r>
          </w:p>
        </w:tc>
        <w:tc>
          <w:tcPr>
            <w:tcW w:w="965" w:type="pct"/>
            <w:vAlign w:val="center"/>
          </w:tcPr>
          <w:p w14:paraId="4C0CFC02">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75</w:t>
            </w:r>
          </w:p>
        </w:tc>
        <w:tc>
          <w:tcPr>
            <w:tcW w:w="985" w:type="pct"/>
            <w:vAlign w:val="center"/>
          </w:tcPr>
          <w:p w14:paraId="16EA27EB">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400</w:t>
            </w:r>
          </w:p>
        </w:tc>
        <w:tc>
          <w:tcPr>
            <w:tcW w:w="636" w:type="pct"/>
            <w:vMerge w:val="continue"/>
            <w:vAlign w:val="center"/>
          </w:tcPr>
          <w:p w14:paraId="5D806A1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bidi="ar-SA"/>
              </w:rPr>
            </w:pPr>
          </w:p>
        </w:tc>
      </w:tr>
      <w:tr w14:paraId="3956D4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5000" w:type="pct"/>
            <w:gridSpan w:val="5"/>
            <w:vAlign w:val="center"/>
          </w:tcPr>
          <w:p w14:paraId="631FCAFF">
            <w:pPr>
              <w:jc w:val="lef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注：采购项目总价最高限价57000元，包括但不限于项目服务费、配套设备辅材费、标本运输保存销毁、资料装订及邮寄费、税费、保险费、保密费、验收检测费等完成本项目所需的一切费用。因成交供应商自身原因造成漏报、少报皆由其自行承担责任，采购人不再补偿。</w:t>
            </w:r>
          </w:p>
        </w:tc>
      </w:tr>
    </w:tbl>
    <w:p w14:paraId="723D7FEC">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544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1"/>
        <w:gridCol w:w="1965"/>
        <w:gridCol w:w="7969"/>
      </w:tblGrid>
      <w:tr w14:paraId="6D6CB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3" w:type="pct"/>
            <w:vAlign w:val="center"/>
          </w:tcPr>
          <w:p w14:paraId="1471F3D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915" w:type="pct"/>
            <w:vAlign w:val="center"/>
          </w:tcPr>
          <w:p w14:paraId="781E3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711" w:type="pct"/>
            <w:vAlign w:val="center"/>
          </w:tcPr>
          <w:p w14:paraId="48ECBA4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r>
      <w:tr w14:paraId="53BDA1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373" w:type="pct"/>
            <w:shd w:val="clear" w:color="auto" w:fill="auto"/>
            <w:vAlign w:val="center"/>
          </w:tcPr>
          <w:p w14:paraId="6303FD0A">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w:t>
            </w:r>
          </w:p>
        </w:tc>
        <w:tc>
          <w:tcPr>
            <w:tcW w:w="915" w:type="pct"/>
            <w:shd w:val="clear" w:color="auto" w:fill="auto"/>
            <w:vAlign w:val="center"/>
          </w:tcPr>
          <w:p w14:paraId="5E5ACB0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组织解离+高通量10X单细胞转录组测序（TCR+BCR+5’ 端测序）建库+</w:t>
            </w:r>
            <w:r>
              <w:rPr>
                <w:rFonts w:hint="eastAsia" w:ascii="方正仿宋_GBK" w:hAnsi="方正仿宋_GBK" w:eastAsia="方正仿宋_GBK" w:cs="方正仿宋_GBK"/>
                <w:b w:val="0"/>
                <w:bCs w:val="0"/>
                <w:color w:val="auto"/>
                <w:kern w:val="2"/>
                <w:sz w:val="24"/>
                <w:szCs w:val="24"/>
                <w:highlight w:val="none"/>
                <w:lang w:val="en-US" w:eastAsia="zh-CN" w:bidi="ar-SA"/>
              </w:rPr>
              <w:t>100G+10G</w:t>
            </w:r>
            <w:r>
              <w:rPr>
                <w:rFonts w:hint="eastAsia" w:ascii="方正仿宋_GBK" w:hAnsi="方正仿宋_GBK" w:eastAsia="方正仿宋_GBK" w:cs="方正仿宋_GBK"/>
                <w:kern w:val="2"/>
                <w:sz w:val="24"/>
                <w:szCs w:val="24"/>
                <w:highlight w:val="none"/>
                <w:lang w:val="en-US" w:eastAsia="zh-CN" w:bidi="ar-SA"/>
              </w:rPr>
              <w:t>测序+标准分析</w:t>
            </w:r>
          </w:p>
        </w:tc>
        <w:tc>
          <w:tcPr>
            <w:tcW w:w="3711" w:type="pct"/>
            <w:shd w:val="clear" w:color="auto" w:fill="auto"/>
            <w:vAlign w:val="center"/>
          </w:tcPr>
          <w:p w14:paraId="14B90F05">
            <w:pPr>
              <w:jc w:val="left"/>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单细胞转录组+VDJ测序 (10X平台)：①组织解离成细胞悬液；②活细胞的总量、活性及浓度质检；③10X微流控上机，制备cDNA悬浊液；④对cDNA进行建库</w:t>
            </w:r>
            <w:r>
              <w:rPr>
                <w:rFonts w:hint="eastAsia" w:ascii="方正仿宋_GBK" w:hAnsi="方正仿宋_GBK" w:eastAsia="方正仿宋_GBK" w:cs="方正仿宋_GBK"/>
                <w:color w:val="auto"/>
                <w:kern w:val="2"/>
                <w:sz w:val="24"/>
                <w:szCs w:val="24"/>
                <w:highlight w:val="none"/>
                <w:lang w:val="en-US" w:eastAsia="zh-CN" w:bidi="ar-SA"/>
              </w:rPr>
              <w:t>，采用测序平台Illumina PE150</w:t>
            </w:r>
            <w:r>
              <w:rPr>
                <w:rFonts w:hint="eastAsia" w:ascii="方正仿宋_GBK" w:hAnsi="方正仿宋_GBK" w:eastAsia="方正仿宋_GBK" w:cs="方正仿宋_GBK"/>
                <w:b w:val="0"/>
                <w:bCs w:val="0"/>
                <w:color w:val="auto"/>
                <w:kern w:val="2"/>
                <w:sz w:val="24"/>
                <w:szCs w:val="24"/>
                <w:highlight w:val="none"/>
                <w:lang w:val="en-US" w:eastAsia="zh-CN" w:bidi="ar-SA"/>
              </w:rPr>
              <w:t>测序</w:t>
            </w:r>
            <w:r>
              <w:rPr>
                <w:rFonts w:hint="eastAsia" w:ascii="方正仿宋_GBK" w:hAnsi="方正仿宋_GBK" w:eastAsia="方正仿宋_GBK" w:cs="方正仿宋_GBK"/>
                <w:color w:val="auto"/>
                <w:kern w:val="2"/>
                <w:sz w:val="24"/>
                <w:szCs w:val="24"/>
                <w:highlight w:val="none"/>
                <w:lang w:val="en-US" w:eastAsia="zh-CN" w:bidi="ar-SA"/>
              </w:rPr>
              <w:t>以及</w:t>
            </w:r>
            <w:r>
              <w:rPr>
                <w:rFonts w:hint="eastAsia" w:ascii="方正仿宋_GBK" w:hAnsi="方正仿宋_GBK" w:eastAsia="方正仿宋_GBK" w:cs="方正仿宋_GBK"/>
                <w:kern w:val="2"/>
                <w:sz w:val="24"/>
                <w:szCs w:val="24"/>
                <w:highlight w:val="none"/>
                <w:lang w:val="en-US" w:eastAsia="zh-CN" w:bidi="ar-SA"/>
              </w:rPr>
              <w:t>后续生信分析。⑤数据质控：为确保Reads有足够高的质量，将下机原始测序数据（raw reads）去掉含有带接头的、低质量的reads，得到clean reads，保证后续分析的准确性。⑥细胞亚群分析：质量控制、聚类分析、差异基因分析、差异基因GO富集分析、差异基因KEGG富集分析、蛋白互作网络分析、差异基因转录因子注释、Reactome通路富集分析、GSVA分析、差异基因疾病注释功能分析、细胞亚群细胞通讯分析和细胞亚群鉴定。</w:t>
            </w:r>
          </w:p>
          <w:p w14:paraId="79DDE796">
            <w:pPr>
              <w:jc w:val="left"/>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交付：原始数据和所有分析结果。</w:t>
            </w:r>
          </w:p>
        </w:tc>
      </w:tr>
      <w:tr w14:paraId="76E3C5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373" w:type="pct"/>
            <w:shd w:val="clear" w:color="auto" w:fill="auto"/>
            <w:vAlign w:val="center"/>
          </w:tcPr>
          <w:p w14:paraId="1C059802">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sz w:val="24"/>
                <w:szCs w:val="24"/>
                <w:highlight w:val="none"/>
                <w:lang w:val="en-US" w:eastAsia="zh-CN"/>
              </w:rPr>
            </w:pPr>
          </w:p>
        </w:tc>
        <w:tc>
          <w:tcPr>
            <w:tcW w:w="915" w:type="pct"/>
            <w:shd w:val="clear" w:color="auto" w:fill="auto"/>
            <w:vAlign w:val="center"/>
          </w:tcPr>
          <w:p w14:paraId="2E8E0C8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核酸提取+真核有参转录组建库(PolyA)+6G测序+标准分析</w:t>
            </w:r>
          </w:p>
        </w:tc>
        <w:tc>
          <w:tcPr>
            <w:tcW w:w="3711" w:type="pct"/>
            <w:shd w:val="clear" w:color="auto" w:fill="auto"/>
            <w:vAlign w:val="center"/>
          </w:tcPr>
          <w:p w14:paraId="46B348E4">
            <w:pPr>
              <w:jc w:val="left"/>
              <w:rPr>
                <w:rFonts w:hint="default" w:ascii="方正仿宋_GBK" w:hAnsi="方正仿宋_GBK" w:eastAsia="方正仿宋_GBK" w:cs="方正仿宋_GBK"/>
                <w:kern w:val="2"/>
                <w:sz w:val="24"/>
                <w:szCs w:val="24"/>
                <w:highlight w:val="none"/>
                <w:lang w:val="en-US" w:eastAsia="zh-CN" w:bidi="ar-SA"/>
              </w:rPr>
            </w:pPr>
            <w:r>
              <w:rPr>
                <w:rFonts w:hint="default" w:ascii="方正仿宋_GBK" w:hAnsi="方正仿宋_GBK" w:eastAsia="方正仿宋_GBK" w:cs="方正仿宋_GBK"/>
                <w:kern w:val="2"/>
                <w:sz w:val="24"/>
                <w:szCs w:val="24"/>
                <w:highlight w:val="none"/>
                <w:lang w:val="en-US" w:eastAsia="zh-CN" w:bidi="ar-SA"/>
              </w:rPr>
              <w:t>转录组测序(RNA-Seq)：①RNA提取：需Qiagen RNeasy Mini Kit（catalog #74104）操作步骤进行提取。②cDNA扩增及建库：按照RNA逆转录试剂盒Invitrogen SuperScript III 、cDNA文库制备试剂盒Illumina TruSeq Stranded Total RNA Sample Prep Kit（catalog #RS-122-2201）的操作说明书进行扩增及建库。③测序：</w:t>
            </w:r>
            <w:r>
              <w:rPr>
                <w:rFonts w:hint="eastAsia" w:ascii="方正仿宋_GBK" w:hAnsi="方正仿宋_GBK" w:eastAsia="方正仿宋_GBK" w:cs="方正仿宋_GBK"/>
                <w:kern w:val="2"/>
                <w:sz w:val="24"/>
                <w:szCs w:val="24"/>
                <w:highlight w:val="none"/>
                <w:lang w:val="en-US" w:eastAsia="zh-CN" w:bidi="ar-SA"/>
              </w:rPr>
              <w:t>采用</w:t>
            </w:r>
            <w:r>
              <w:rPr>
                <w:rFonts w:hint="default" w:ascii="方正仿宋_GBK" w:hAnsi="方正仿宋_GBK" w:eastAsia="方正仿宋_GBK" w:cs="方正仿宋_GBK"/>
                <w:kern w:val="2"/>
                <w:sz w:val="24"/>
                <w:szCs w:val="24"/>
                <w:highlight w:val="none"/>
                <w:lang w:val="en-US" w:eastAsia="zh-CN" w:bidi="ar-SA"/>
              </w:rPr>
              <w:t>Illumina MiSeq平台</w:t>
            </w:r>
            <w:r>
              <w:rPr>
                <w:rFonts w:hint="eastAsia" w:ascii="方正仿宋_GBK" w:hAnsi="方正仿宋_GBK" w:eastAsia="方正仿宋_GBK" w:cs="方正仿宋_GBK"/>
                <w:kern w:val="2"/>
                <w:sz w:val="24"/>
                <w:szCs w:val="24"/>
                <w:highlight w:val="none"/>
                <w:lang w:val="en-US" w:eastAsia="zh-CN" w:bidi="ar-SA"/>
              </w:rPr>
              <w:t>进行</w:t>
            </w:r>
            <w:r>
              <w:rPr>
                <w:rFonts w:hint="default" w:ascii="方正仿宋_GBK" w:hAnsi="方正仿宋_GBK" w:eastAsia="方正仿宋_GBK" w:cs="方正仿宋_GBK"/>
                <w:kern w:val="2"/>
                <w:sz w:val="24"/>
                <w:szCs w:val="24"/>
                <w:highlight w:val="none"/>
                <w:lang w:val="en-US" w:eastAsia="zh-CN" w:bidi="ar-SA"/>
              </w:rPr>
              <w:t>高通量测序。④数据质控：为确保Reads有足够高的质量，将下机原始测序数据（raw reads）去掉含有带接头的、低质量的reads，得到clean reads，保证后续分析的准确性。⑤参考序列比对：将Clean Reads与参考基因组进行序列比对，获取在参考基因组或基因上的位置信息，定位区域分为Exon（外显子）、Intron（内含子）和Intergenic（基因间区）。⑥差异表达基因分析：差异表达基因以火山图、MA图、韦恩图、聚类热图、蛋白互作图等形式呈现，筛选差异基因标准一般为：Fold Change≥2，FDR&lt;0.01。⑦差异表达基因GO分类：差异表达基因GO注释分类统计图，直观的反映出在生物过程（biological process）、细胞组分（cellular component）和分子功能（molecular function），所有基因和差异基因注释GO term的个数分布</w:t>
            </w:r>
            <w:r>
              <w:rPr>
                <w:rFonts w:hint="default" w:ascii="方正仿宋_GBK" w:hAnsi="方正仿宋_GBK" w:eastAsia="方正仿宋_GBK" w:cs="方正仿宋_GBK"/>
                <w:b w:val="0"/>
                <w:bCs w:val="0"/>
                <w:color w:val="auto"/>
                <w:kern w:val="2"/>
                <w:sz w:val="24"/>
                <w:szCs w:val="24"/>
                <w:highlight w:val="none"/>
                <w:lang w:val="en-US" w:eastAsia="zh-CN" w:bidi="ar-SA"/>
              </w:rPr>
              <w:t>。⑧差异表达基因蛋白互作网络</w:t>
            </w:r>
            <w:r>
              <w:rPr>
                <w:rFonts w:hint="eastAsia" w:ascii="方正仿宋_GBK" w:hAnsi="方正仿宋_GBK" w:eastAsia="方正仿宋_GBK" w:cs="方正仿宋_GBK"/>
                <w:b w:val="0"/>
                <w:bCs w:val="0"/>
                <w:color w:val="auto"/>
                <w:kern w:val="2"/>
                <w:sz w:val="24"/>
                <w:szCs w:val="24"/>
                <w:highlight w:val="none"/>
                <w:lang w:val="en-US" w:eastAsia="zh-CN" w:bidi="ar-SA"/>
              </w:rPr>
              <w:t>分析</w:t>
            </w:r>
            <w:r>
              <w:rPr>
                <w:rFonts w:hint="default" w:ascii="方正仿宋_GBK" w:hAnsi="方正仿宋_GBK" w:eastAsia="方正仿宋_GBK" w:cs="方正仿宋_GBK"/>
                <w:b w:val="0"/>
                <w:bCs w:val="0"/>
                <w:color w:val="auto"/>
                <w:kern w:val="2"/>
                <w:sz w:val="24"/>
                <w:szCs w:val="24"/>
                <w:highlight w:val="none"/>
                <w:lang w:val="en-US" w:eastAsia="zh-CN" w:bidi="ar-SA"/>
              </w:rPr>
              <w:t>：</w:t>
            </w:r>
            <w:r>
              <w:rPr>
                <w:rFonts w:hint="eastAsia" w:ascii="方正仿宋_GBK" w:hAnsi="方正仿宋_GBK" w:eastAsia="方正仿宋_GBK" w:cs="方正仿宋_GBK"/>
                <w:b w:val="0"/>
                <w:bCs w:val="0"/>
                <w:color w:val="auto"/>
                <w:kern w:val="2"/>
                <w:sz w:val="24"/>
                <w:szCs w:val="24"/>
                <w:highlight w:val="none"/>
                <w:lang w:val="en-US" w:eastAsia="zh-CN" w:bidi="ar-SA"/>
              </w:rPr>
              <w:t>将样本测序数据与</w:t>
            </w:r>
            <w:r>
              <w:rPr>
                <w:rFonts w:hint="default" w:ascii="方正仿宋_GBK" w:hAnsi="方正仿宋_GBK" w:eastAsia="方正仿宋_GBK" w:cs="方正仿宋_GBK"/>
                <w:b w:val="0"/>
                <w:bCs w:val="0"/>
                <w:color w:val="auto"/>
                <w:kern w:val="2"/>
                <w:sz w:val="24"/>
                <w:szCs w:val="24"/>
                <w:highlight w:val="none"/>
                <w:lang w:val="en-US" w:eastAsia="zh-CN" w:bidi="ar-SA"/>
              </w:rPr>
              <w:t>STRING</w:t>
            </w:r>
            <w:r>
              <w:rPr>
                <w:rFonts w:hint="eastAsia" w:ascii="方正仿宋_GBK" w:hAnsi="方正仿宋_GBK" w:eastAsia="方正仿宋_GBK" w:cs="方正仿宋_GBK"/>
                <w:b w:val="0"/>
                <w:bCs w:val="0"/>
                <w:color w:val="auto"/>
                <w:kern w:val="2"/>
                <w:sz w:val="24"/>
                <w:szCs w:val="24"/>
                <w:highlight w:val="none"/>
                <w:lang w:val="en-US" w:eastAsia="zh-CN" w:bidi="ar-SA"/>
              </w:rPr>
              <w:t>（</w:t>
            </w:r>
            <w:r>
              <w:rPr>
                <w:rFonts w:hint="default" w:ascii="方正仿宋_GBK" w:hAnsi="方正仿宋_GBK" w:eastAsia="方正仿宋_GBK" w:cs="方正仿宋_GBK"/>
                <w:b w:val="0"/>
                <w:bCs w:val="0"/>
                <w:color w:val="auto"/>
                <w:kern w:val="2"/>
                <w:sz w:val="24"/>
                <w:szCs w:val="24"/>
                <w:highlight w:val="none"/>
                <w:lang w:val="en-US" w:eastAsia="zh-CN" w:bidi="ar-SA"/>
              </w:rPr>
              <w:t>收录多个物种预测的和实验验证的蛋白质-蛋白质互作的数据库</w:t>
            </w:r>
            <w:r>
              <w:rPr>
                <w:rFonts w:hint="eastAsia" w:ascii="方正仿宋_GBK" w:hAnsi="方正仿宋_GBK" w:eastAsia="方正仿宋_GBK" w:cs="方正仿宋_GBK"/>
                <w:b w:val="0"/>
                <w:bCs w:val="0"/>
                <w:color w:val="auto"/>
                <w:kern w:val="2"/>
                <w:sz w:val="24"/>
                <w:szCs w:val="24"/>
                <w:highlight w:val="none"/>
                <w:lang w:val="en-US" w:eastAsia="zh-CN" w:bidi="ar-SA"/>
              </w:rPr>
              <w:t>）数据进行对比分析</w:t>
            </w:r>
            <w:r>
              <w:rPr>
                <w:rFonts w:hint="default" w:ascii="方正仿宋_GBK" w:hAnsi="方正仿宋_GBK" w:eastAsia="方正仿宋_GBK" w:cs="方正仿宋_GBK"/>
                <w:b w:val="0"/>
                <w:bCs w:val="0"/>
                <w:color w:val="auto"/>
                <w:kern w:val="2"/>
                <w:sz w:val="24"/>
                <w:szCs w:val="24"/>
                <w:highlight w:val="none"/>
                <w:lang w:val="en-US" w:eastAsia="zh-CN" w:bidi="ar-SA"/>
              </w:rPr>
              <w:t>，</w:t>
            </w:r>
            <w:r>
              <w:rPr>
                <w:rFonts w:hint="eastAsia" w:ascii="方正仿宋_GBK" w:hAnsi="方正仿宋_GBK" w:eastAsia="方正仿宋_GBK" w:cs="方正仿宋_GBK"/>
                <w:b w:val="0"/>
                <w:bCs w:val="0"/>
                <w:color w:val="auto"/>
                <w:kern w:val="2"/>
                <w:sz w:val="24"/>
                <w:szCs w:val="24"/>
                <w:highlight w:val="none"/>
                <w:lang w:val="en-US" w:eastAsia="zh-CN" w:bidi="ar-SA"/>
              </w:rPr>
              <w:t>分析涵盖</w:t>
            </w:r>
            <w:r>
              <w:rPr>
                <w:rFonts w:hint="default" w:ascii="方正仿宋_GBK" w:hAnsi="方正仿宋_GBK" w:eastAsia="方正仿宋_GBK" w:cs="方正仿宋_GBK"/>
                <w:b w:val="0"/>
                <w:bCs w:val="0"/>
                <w:color w:val="auto"/>
                <w:kern w:val="2"/>
                <w:sz w:val="24"/>
                <w:szCs w:val="24"/>
                <w:highlight w:val="none"/>
                <w:lang w:val="en-US" w:eastAsia="zh-CN" w:bidi="ar-SA"/>
              </w:rPr>
              <w:t>直接的物理互作和间接的功能相关</w:t>
            </w:r>
            <w:r>
              <w:rPr>
                <w:rFonts w:hint="eastAsia" w:ascii="方正仿宋_GBK" w:hAnsi="方正仿宋_GBK" w:eastAsia="方正仿宋_GBK" w:cs="方正仿宋_GBK"/>
                <w:b w:val="0"/>
                <w:bCs w:val="0"/>
                <w:color w:val="auto"/>
                <w:kern w:val="2"/>
                <w:sz w:val="24"/>
                <w:szCs w:val="24"/>
                <w:highlight w:val="none"/>
                <w:lang w:val="en-US" w:eastAsia="zh-CN" w:bidi="ar-SA"/>
              </w:rPr>
              <w:t>等</w:t>
            </w:r>
            <w:r>
              <w:rPr>
                <w:rFonts w:hint="default" w:ascii="方正仿宋_GBK" w:hAnsi="方正仿宋_GBK" w:eastAsia="方正仿宋_GBK" w:cs="方正仿宋_GBK"/>
                <w:b w:val="0"/>
                <w:bCs w:val="0"/>
                <w:color w:val="auto"/>
                <w:kern w:val="2"/>
                <w:sz w:val="24"/>
                <w:szCs w:val="24"/>
                <w:highlight w:val="none"/>
                <w:lang w:val="en-US" w:eastAsia="zh-CN" w:bidi="ar-SA"/>
              </w:rPr>
              <w:t>。</w:t>
            </w:r>
            <w:r>
              <w:rPr>
                <w:rFonts w:hint="default" w:ascii="方正仿宋_GBK" w:hAnsi="方正仿宋_GBK" w:eastAsia="方正仿宋_GBK" w:cs="方正仿宋_GBK"/>
                <w:kern w:val="2"/>
                <w:sz w:val="24"/>
                <w:szCs w:val="24"/>
                <w:highlight w:val="none"/>
                <w:lang w:val="en-US" w:eastAsia="zh-CN" w:bidi="ar-SA"/>
              </w:rPr>
              <w:t>⑨差异表达基因KEGG通路富集</w:t>
            </w:r>
            <w:r>
              <w:rPr>
                <w:rFonts w:hint="eastAsia" w:ascii="方正仿宋_GBK" w:hAnsi="方正仿宋_GBK" w:eastAsia="方正仿宋_GBK" w:cs="方正仿宋_GBK"/>
                <w:kern w:val="2"/>
                <w:sz w:val="24"/>
                <w:szCs w:val="24"/>
                <w:highlight w:val="none"/>
                <w:lang w:val="en-US" w:eastAsia="zh-CN" w:bidi="ar-SA"/>
              </w:rPr>
              <w:t>分析</w:t>
            </w:r>
            <w:r>
              <w:rPr>
                <w:rFonts w:hint="default" w:ascii="方正仿宋_GBK" w:hAnsi="方正仿宋_GBK" w:eastAsia="方正仿宋_GBK" w:cs="方正仿宋_GBK"/>
                <w:kern w:val="2"/>
                <w:sz w:val="24"/>
                <w:szCs w:val="24"/>
                <w:highlight w:val="none"/>
                <w:lang w:val="en-US" w:eastAsia="zh-CN" w:bidi="ar-SA"/>
              </w:rPr>
              <w:t>：差异表达基因的KEGG Pathway富集分析，系统分析基因产物在细胞中的代谢途径以及这些基因产物功能，把基因及表达信息作为一个整体的网络进行研究。</w:t>
            </w:r>
          </w:p>
          <w:p w14:paraId="33B77A81">
            <w:pPr>
              <w:jc w:val="left"/>
              <w:rPr>
                <w:rFonts w:hint="default" w:ascii="方正仿宋_GBK" w:hAnsi="方正仿宋_GBK" w:eastAsia="方正仿宋_GBK" w:cs="方正仿宋_GBK"/>
                <w:kern w:val="2"/>
                <w:sz w:val="24"/>
                <w:szCs w:val="24"/>
                <w:highlight w:val="none"/>
                <w:lang w:val="en-US" w:eastAsia="zh-CN" w:bidi="ar-SA"/>
              </w:rPr>
            </w:pPr>
            <w:r>
              <w:rPr>
                <w:rFonts w:hint="default" w:ascii="方正仿宋_GBK" w:hAnsi="方正仿宋_GBK" w:eastAsia="方正仿宋_GBK" w:cs="方正仿宋_GBK"/>
                <w:kern w:val="2"/>
                <w:sz w:val="24"/>
                <w:szCs w:val="24"/>
                <w:highlight w:val="none"/>
                <w:lang w:val="en-US" w:eastAsia="zh-CN" w:bidi="ar-SA"/>
              </w:rPr>
              <w:t>交付：原始数据和所有分析结果。</w:t>
            </w:r>
          </w:p>
        </w:tc>
      </w:tr>
    </w:tbl>
    <w:p w14:paraId="01142639">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7CEF6FB6">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7F090AD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0CB6D9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5B24CA7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575F4F4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4C45285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71EC2D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2202C81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66E918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1.提供实验室资质、专业测序平台证明、ISO 9001体系认证、ISO/IEC 27001体系认证、生物安全实验室备案证书、能力验证/室间质评证书、实验室人员资质证明、配套设备及试剂的合格证、注证册或备案证；</w:t>
      </w:r>
    </w:p>
    <w:p w14:paraId="09AF8C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2.提供具有履行合同所需的设备、试剂和专业技术能力声明; </w:t>
      </w:r>
    </w:p>
    <w:p w14:paraId="5E217FB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3.提供2024年至今2份类似项目的合同、发票、验收记录；</w:t>
      </w:r>
    </w:p>
    <w:p w14:paraId="24E01D3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4.其他法律法规有关规范。</w:t>
      </w:r>
    </w:p>
    <w:p w14:paraId="101BAFF1">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43AD661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57000元。报价要求：包括但不限于项目服务费、配套设备辅材费、标本运输保存销毁、资料装订及邮寄费、税费、保险费、保密费、验收检测费等完成本项目所需的一切费用。因成交供应商自身原因造成漏报、少报皆由其自行承担责任，采购人不再补偿。报送总价不得超过采购人要求，否则视为无效报价。</w:t>
      </w:r>
    </w:p>
    <w:p w14:paraId="49381DA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3EFD2FD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652DBD7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要求：针对需供应商提取核酸的样本，5个工作日内完成核酸提取和质检；不需供应商提取核酸的样本，2个工作日内完成核酸质检。供应商在收到符合实验要求的样本及与采购人确认核对后，12-15个工作日内完成测序相关的全部工作，并向采购人交付分析结果及相应报告。最长1年时间完成项目要求的所有服务内容。</w:t>
      </w:r>
    </w:p>
    <w:p w14:paraId="63825B1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2FA6B3B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r>
        <w:rPr>
          <w:rFonts w:hint="eastAsia" w:ascii="方正仿宋_GBK" w:hAnsi="方正仿宋_GBK" w:eastAsia="方正仿宋_GBK" w:cs="方正仿宋_GBK"/>
          <w:sz w:val="32"/>
          <w:szCs w:val="32"/>
          <w:highlight w:val="none"/>
        </w:rPr>
        <w:t>合作期间项目数量有</w:t>
      </w:r>
      <w:r>
        <w:rPr>
          <w:rFonts w:hint="eastAsia" w:ascii="方正仿宋_GBK" w:hAnsi="方正仿宋_GBK" w:eastAsia="方正仿宋_GBK" w:cs="方正仿宋_GBK"/>
          <w:sz w:val="32"/>
          <w:szCs w:val="32"/>
          <w:highlight w:val="none"/>
          <w:lang w:eastAsia="zh-CN"/>
        </w:rPr>
        <w:t>减少</w:t>
      </w:r>
      <w:r>
        <w:rPr>
          <w:rFonts w:hint="eastAsia" w:ascii="方正仿宋_GBK" w:hAnsi="方正仿宋_GBK" w:eastAsia="方正仿宋_GBK" w:cs="方正仿宋_GBK"/>
          <w:sz w:val="32"/>
          <w:szCs w:val="32"/>
          <w:highlight w:val="none"/>
        </w:rPr>
        <w:t>，按供应商分项报价据实结算。</w:t>
      </w:r>
    </w:p>
    <w:p w14:paraId="6910BA1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（五）验收方式</w:t>
      </w:r>
    </w:p>
    <w:p w14:paraId="6F0A22B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按照采购招投标文件要求（包括完成时限、完成内容、完成质量等）逐项验收，验收产生争议由采购人择优选择第三方有资质的机构检测，费用由供应商承担。</w:t>
      </w:r>
    </w:p>
    <w:p w14:paraId="65D941FD">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（六）服务效果考核标准</w:t>
      </w:r>
    </w:p>
    <w:p w14:paraId="063CDE0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 数据标准：</w:t>
      </w:r>
    </w:p>
    <w:p w14:paraId="0F3B7C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（1）质量标准：对于供应商交付的高通量测序原始数据质量和数据分析结果应全部达到对应技术平台对测序结果的要求。</w:t>
      </w:r>
      <w:r>
        <w:rPr>
          <w:rFonts w:hint="eastAsia" w:ascii="方正仿宋_GBK" w:hAnsi="方正仿宋_GBK" w:eastAsia="方正仿宋_GBK" w:cs="方正仿宋_GBK"/>
          <w:b w:val="0"/>
          <w:bCs w:val="0"/>
          <w:color w:val="auto"/>
          <w:sz w:val="32"/>
          <w:szCs w:val="32"/>
          <w:highlight w:val="none"/>
          <w:lang w:val="en-US" w:eastAsia="zh-CN"/>
        </w:rPr>
        <w:t>采购人提供自建库样品，供应商在文库中掺入1%左右的phix作为内参，最终内参的测序质量达到对应技术平台对测序结果的要求，则认为测序成功。</w:t>
      </w:r>
    </w:p>
    <w:p w14:paraId="52388DC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（2）数量标准</w:t>
      </w:r>
    </w:p>
    <w:p w14:paraId="7AE2BBF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单细胞转录组+VDJ测序：测序长度2×150bp，</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每个测序文库提供100G+10GG/样左右的数据量</w:t>
      </w:r>
      <w:r>
        <w:rPr>
          <w:rFonts w:hint="eastAsia" w:ascii="方正仿宋_GBK" w:hAnsi="方正仿宋_GBK" w:eastAsia="方正仿宋_GBK" w:cs="方正仿宋_GBK"/>
          <w:color w:val="auto"/>
          <w:sz w:val="32"/>
          <w:szCs w:val="32"/>
          <w:highlight w:val="none"/>
          <w:lang w:val="en-US" w:eastAsia="zh-CN"/>
        </w:rPr>
        <w:t>(实际数据产出差值在10%以内默认不安排补测，若超出该范围则须安排补测)；</w:t>
      </w:r>
    </w:p>
    <w:p w14:paraId="09F501D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真核有参转录组测序：测序长度2×150bp，每个测序文库提供6G/样左右的数据量(实际数据产出差值在10%以内默认不安排补测，若超出该范围则须安排补测)。</w:t>
      </w:r>
    </w:p>
    <w:p w14:paraId="7EDD9A63">
      <w:pPr>
        <w:keepNext w:val="0"/>
        <w:keepLines w:val="0"/>
        <w:pageBreakBefore w:val="0"/>
        <w:widowControl w:val="0"/>
        <w:numPr>
          <w:ilvl w:val="0"/>
          <w:numId w:val="5"/>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数据交付</w:t>
      </w:r>
    </w:p>
    <w:p w14:paraId="5A86666B">
      <w:pPr>
        <w:keepNext w:val="0"/>
        <w:keepLines w:val="0"/>
        <w:pageBreakBefore w:val="0"/>
        <w:widowControl w:val="0"/>
        <w:numPr>
          <w:ilvl w:val="0"/>
          <w:numId w:val="6"/>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交付形式：样品检测结果、文库检测结果、测序PF data FASTQ文件、数据分析等均须整理为电子报告形式，所有数据文件使用GENEWIZCloud云交付系统（默认情况）或储存至U盘/硬盘交付（采购人如有需要将在提交样本时通知供应商）。</w:t>
      </w:r>
    </w:p>
    <w:p w14:paraId="546229D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（2）交付期限</w:t>
      </w:r>
    </w:p>
    <w:p w14:paraId="6D1A423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针对需供应商提取核酸的样本，5个工作日内完成核酸提取和质检；不需供应商提取核酸的样本，2个工作日内完成核酸质检。供应商在收到符合实验要求的样本及与采购人确认核对后，12-15个工作日内完成测序相关的全部工作，并向采购人交付分析结果及相应报告。最长1年时间完成项目要求的所有服务内容。</w:t>
      </w:r>
    </w:p>
    <w:p w14:paraId="36714C7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38764AE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知识产权归采购人所有，未经采购人许可不得泄漏给第三方。</w:t>
      </w:r>
    </w:p>
    <w:p w14:paraId="50EC9A4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（八）配套服务</w:t>
      </w:r>
    </w:p>
    <w:p w14:paraId="2C4F93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（1）电话咨询</w:t>
      </w:r>
    </w:p>
    <w:p w14:paraId="76CF95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5E831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（2）保密要求</w:t>
      </w:r>
    </w:p>
    <w:p w14:paraId="6B08AF7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未经采购人允许，不得将服务内容提供给第三方。</w:t>
      </w:r>
    </w:p>
    <w:p w14:paraId="26480616">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zh-CN"/>
        </w:rPr>
      </w:pPr>
      <w:r>
        <w:rPr>
          <w:rFonts w:hint="eastAsia" w:ascii="方正仿宋_GBK" w:hAnsi="方正仿宋_GBK" w:eastAsia="方正仿宋_GBK" w:cs="方正仿宋_GBK"/>
          <w:b w:val="0"/>
          <w:bCs w:val="0"/>
          <w:color w:val="auto"/>
          <w:kern w:val="2"/>
          <w:sz w:val="32"/>
          <w:szCs w:val="32"/>
          <w:highlight w:val="none"/>
          <w:lang w:val="en-US" w:eastAsia="zh-CN" w:bidi="zh-CN"/>
        </w:rPr>
        <w:t>数据溯源</w:t>
      </w:r>
    </w:p>
    <w:p w14:paraId="693F04F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b w:val="0"/>
          <w:bCs w:val="0"/>
          <w:color w:val="auto"/>
          <w:kern w:val="2"/>
          <w:sz w:val="32"/>
          <w:szCs w:val="32"/>
          <w:highlight w:val="none"/>
          <w:lang w:val="en-US" w:eastAsia="zh-CN" w:bidi="zh-CN"/>
        </w:rPr>
      </w:pPr>
      <w:r>
        <w:rPr>
          <w:rFonts w:hint="eastAsia" w:ascii="方正仿宋_GBK" w:hAnsi="方正仿宋_GBK" w:eastAsia="方正仿宋_GBK" w:cs="方正仿宋_GBK"/>
          <w:b w:val="0"/>
          <w:bCs w:val="0"/>
          <w:color w:val="auto"/>
          <w:kern w:val="2"/>
          <w:sz w:val="32"/>
          <w:szCs w:val="32"/>
          <w:highlight w:val="none"/>
          <w:lang w:val="en-US" w:eastAsia="zh-CN" w:bidi="zh-CN"/>
        </w:rPr>
        <w:t xml:space="preserve">    任何时候，采购人或第三方对数据真实性提出质疑时，供应商应提供客观检测措施对数据结果进行溯源。</w:t>
      </w:r>
    </w:p>
    <w:p w14:paraId="6AE81D7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（九）违约责任</w:t>
      </w:r>
    </w:p>
    <w:p w14:paraId="1FF39F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交付服务内容的，每延迟1日应向采购人支付合同总金额千分之三的违约金，超过30日未能交付，采购人有权单方面解除合同；项目验收不合格或使用中发现服务质量缺陷，采购人有权要求供应商整改，整改期限为10日，整改期限届满仍未完成的供应商每日支付合同总金额千分之三的违约金，超过20日未能完成整改，采购人有权解除合同；供应商交付前明知存在缺陷仍继续交付或交付后知晓缺陷未及时通知采购人并整改的，采购人有权解除合同并要求供应商承担项目金额3倍违约金；出现供应商不能完成检测、检测内容虚假、数据分析错误等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供应商及其服务原因导致的不良事件造成采购人损失的，</w:t>
      </w:r>
      <w:r>
        <w:rPr>
          <w:rFonts w:hint="eastAsia" w:ascii="方正仿宋_GBK" w:hAnsi="方正仿宋_GBK" w:eastAsia="方正仿宋_GBK" w:cs="方正仿宋_GBK"/>
          <w:color w:val="auto"/>
          <w:sz w:val="32"/>
          <w:szCs w:val="32"/>
          <w:highlight w:val="none"/>
          <w:lang w:val="en-US" w:eastAsia="zh-CN"/>
        </w:rPr>
        <w:t>采购人有权解除合同并要求供应商退还本项目费用并承担合同总金额10倍的违约金，如违约金不足以赔偿损失的应补足损失；供应商及其服务发生泄露检测数据及患者隐私事件，采购人有权解除合同并要求供应商返还已支付款项并承担合同总金额10倍的违约金；未按配套服务要求提供服务的，供应商将承担200元/次的违约金；若出现供应商在履约期间与采购单位工作人员发生廉洁违纪行为，及供应商主动放弃履约等情况，采购方有权解除合同，并要求供应商承担合同总金额10倍的违约金。合同履行期间发生争议，协商无果由重庆市璧山区人民法院裁决。</w:t>
      </w:r>
    </w:p>
    <w:p w14:paraId="61C912F6">
      <w:pPr>
        <w:keepNext w:val="0"/>
        <w:keepLines w:val="0"/>
        <w:pageBreakBefore w:val="0"/>
        <w:widowControl w:val="0"/>
        <w:numPr>
          <w:ilvl w:val="0"/>
          <w:numId w:val="8"/>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终止合同情形</w:t>
      </w:r>
    </w:p>
    <w:p w14:paraId="5815B53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 除合同另有约定外，任何一方存在违反合同的行为并经另一方书面提出后5个工作日内仍未改正的，另一方有权解除合同并要求违约方承担违约责任。</w:t>
      </w:r>
    </w:p>
    <w:p w14:paraId="09378D9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 因采购人原因须提前终止合同的，在征得供应商同意的前提下，采购人须支付项目已完成实验的费用，具体完成情况以供应商提供的实验数据证明为准。</w:t>
      </w:r>
    </w:p>
    <w:p w14:paraId="759C027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3. 如因不可抗拒的客观因素导致的项目不能继续履行或没有必要继续履行时，合同终止，双方均不承担责任。</w:t>
      </w:r>
    </w:p>
    <w:p w14:paraId="4FC7973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（十一）中选标准</w:t>
      </w:r>
    </w:p>
    <w:p w14:paraId="60087E4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（十二）其他要求</w:t>
      </w:r>
    </w:p>
    <w:p w14:paraId="690EF67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或服务期内响应不及时等影响采购人正常工作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资质证明、检测报告</w:t>
      </w:r>
      <w:r>
        <w:rPr>
          <w:rFonts w:hint="eastAsia" w:ascii="仿宋_GB2312" w:hAnsi="宋体" w:eastAsia="仿宋_GB2312" w:cs="宋体"/>
          <w:kern w:val="2"/>
          <w:sz w:val="32"/>
          <w:szCs w:val="32"/>
          <w:highlight w:val="none"/>
          <w:lang w:val="en-US" w:eastAsia="zh-CN" w:bidi="ar-SA"/>
        </w:rPr>
        <w:t>等）</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11.履约期内配套服务承诺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12.项目服务方案（应具体到标本接收运输管理、检测进度计划、项目阶段性沟通、人员设备安排、保密措施等）</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131D4BE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1.提供实验室资质、专业测序平台证明、ISO 9001体系认证、ISO/IEC 27001体系认证、生物安全实验室备案证书、能力验证/室间质评证书、实验室人员资质证明、配套设备及试剂的合格证、注证册或备案证；</w:t>
      </w:r>
    </w:p>
    <w:p w14:paraId="437895A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2.提供具有履行合同所需的设备、试剂和专业技术能力声明; </w:t>
      </w:r>
    </w:p>
    <w:p w14:paraId="03C1E55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3.提供2024年至今2份类似项目的合同、发票、验收记录；</w:t>
      </w:r>
    </w:p>
    <w:p w14:paraId="2B98010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4.其他法律法规有关规范。</w:t>
      </w:r>
    </w:p>
    <w:p w14:paraId="175F0F5A">
      <w:pPr>
        <w:rPr>
          <w:rFonts w:hint="eastAsia" w:ascii="仿宋_GB2312" w:hAnsi="Arial" w:eastAsia="仿宋_GB2312" w:cstheme="minorBidi"/>
          <w:b/>
          <w:color w:val="auto"/>
          <w:kern w:val="2"/>
          <w:sz w:val="24"/>
          <w:szCs w:val="24"/>
          <w:highlight w:val="none"/>
          <w:lang w:val="en-US" w:eastAsia="zh-CN" w:bidi="ar-SA"/>
        </w:rPr>
      </w:pPr>
    </w:p>
    <w:p w14:paraId="5AB5AAF7">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014297"/>
      <w:bookmarkStart w:id="1" w:name="_Toc128229747"/>
      <w:bookmarkStart w:id="2" w:name="_Toc175017344"/>
      <w:bookmarkStart w:id="3" w:name="_Toc173677399"/>
      <w:bookmarkStart w:id="4" w:name="_Toc237057793"/>
      <w:bookmarkStart w:id="5" w:name="_Toc128229304"/>
      <w:bookmarkStart w:id="6" w:name="_Toc156196472"/>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10"/>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10"/>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元整（附分项明细表）。</w:t>
      </w:r>
    </w:p>
    <w:p w14:paraId="3785074E">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01E13594">
      <w:pPr>
        <w:numPr>
          <w:ilvl w:val="0"/>
          <w:numId w:val="9"/>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9"/>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6"/>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w:t>
      </w:r>
    </w:p>
    <w:p w14:paraId="4ACD48E7">
      <w:pPr>
        <w:pStyle w:val="6"/>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6"/>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6"/>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投标服务相关资料（如资质证明、检测报告等）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履约</w:t>
      </w:r>
      <w:r>
        <w:rPr>
          <w:rFonts w:hint="eastAsia" w:ascii="方正仿宋_GBK" w:hAnsi="方正仿宋_GBK" w:eastAsia="方正仿宋_GBK" w:cs="方正仿宋_GBK"/>
          <w:b/>
          <w:bCs/>
          <w:sz w:val="32"/>
          <w:szCs w:val="32"/>
          <w:highlight w:val="none"/>
          <w:lang w:eastAsia="zh-CN"/>
        </w:rPr>
        <w:t>期内</w:t>
      </w: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履约期内配套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4D4D3B3">
      <w:pPr>
        <w:pStyle w:val="6"/>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项目服务方案（应具体到标本接收运输管理、检测进度计划、项目阶段性沟通、人员设备安排、保密措施等）</w:t>
      </w:r>
    </w:p>
    <w:p w14:paraId="24D85696">
      <w:pPr>
        <w:pStyle w:val="6"/>
        <w:jc w:val="center"/>
        <w:rPr>
          <w:sz w:val="40"/>
          <w:szCs w:val="40"/>
          <w:highlight w:val="none"/>
        </w:rPr>
      </w:pPr>
      <w:r>
        <w:rPr>
          <w:rFonts w:hint="eastAsia" w:ascii="仿宋_GB2312" w:hAnsi="宋体" w:eastAsia="仿宋_GB2312"/>
          <w:b/>
          <w:snapToGrid w:val="0"/>
          <w:color w:val="auto"/>
          <w:kern w:val="0"/>
          <w:sz w:val="40"/>
          <w:szCs w:val="40"/>
          <w:highlight w:val="none"/>
          <w:lang w:val="en-US" w:eastAsia="zh-CN"/>
        </w:rPr>
        <w:t>投标</w:t>
      </w:r>
      <w:r>
        <w:rPr>
          <w:rFonts w:hint="eastAsia" w:ascii="仿宋_GB2312" w:hAnsi="宋体" w:eastAsia="仿宋_GB2312"/>
          <w:b/>
          <w:snapToGrid w:val="0"/>
          <w:color w:val="auto"/>
          <w:kern w:val="0"/>
          <w:sz w:val="40"/>
          <w:szCs w:val="40"/>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6"/>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6"/>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79365"/>
    <w:multiLevelType w:val="singleLevel"/>
    <w:tmpl w:val="9A479365"/>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CD11BD02"/>
    <w:multiLevelType w:val="singleLevel"/>
    <w:tmpl w:val="CD11BD02"/>
    <w:lvl w:ilvl="0" w:tentative="0">
      <w:start w:val="10"/>
      <w:numFmt w:val="chineseCounting"/>
      <w:suff w:val="nothing"/>
      <w:lvlText w:val="（%1）"/>
      <w:lvlJc w:val="left"/>
      <w:rPr>
        <w:rFonts w:hint="eastAsia"/>
      </w:rPr>
    </w:lvl>
  </w:abstractNum>
  <w:abstractNum w:abstractNumId="3">
    <w:nsid w:val="16796E28"/>
    <w:multiLevelType w:val="singleLevel"/>
    <w:tmpl w:val="16796E28"/>
    <w:lvl w:ilvl="0" w:tentative="0">
      <w:start w:val="2"/>
      <w:numFmt w:val="chineseCounting"/>
      <w:suff w:val="nothing"/>
      <w:lvlText w:val="%1、"/>
      <w:lvlJc w:val="left"/>
      <w:rPr>
        <w:rFonts w:hint="eastAsia"/>
      </w:rPr>
    </w:lvl>
  </w:abstractNum>
  <w:abstractNum w:abstractNumId="4">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4C02797A"/>
    <w:multiLevelType w:val="singleLevel"/>
    <w:tmpl w:val="4C02797A"/>
    <w:lvl w:ilvl="0" w:tentative="0">
      <w:start w:val="3"/>
      <w:numFmt w:val="decimal"/>
      <w:suff w:val="nothing"/>
      <w:lvlText w:val="（%1）"/>
      <w:lvlJc w:val="left"/>
    </w:lvl>
  </w:abstractNum>
  <w:abstractNum w:abstractNumId="6">
    <w:nsid w:val="593E016B"/>
    <w:multiLevelType w:val="singleLevel"/>
    <w:tmpl w:val="593E016B"/>
    <w:lvl w:ilvl="0" w:tentative="0">
      <w:start w:val="1"/>
      <w:numFmt w:val="chineseCounting"/>
      <w:suff w:val="nothing"/>
      <w:lvlText w:val="%1、"/>
      <w:lvlJc w:val="left"/>
      <w:rPr>
        <w:rFonts w:hint="eastAsia"/>
      </w:rPr>
    </w:lvl>
  </w:abstractNum>
  <w:abstractNum w:abstractNumId="7">
    <w:nsid w:val="62C7EC1A"/>
    <w:multiLevelType w:val="singleLevel"/>
    <w:tmpl w:val="62C7EC1A"/>
    <w:lvl w:ilvl="0" w:tentative="0">
      <w:start w:val="2"/>
      <w:numFmt w:val="decimal"/>
      <w:suff w:val="space"/>
      <w:lvlText w:val="%1."/>
      <w:lvlJc w:val="left"/>
    </w:lvl>
  </w:abstractNum>
  <w:abstractNum w:abstractNumId="8">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8"/>
  </w:num>
  <w:num w:numId="3">
    <w:abstractNumId w:val="6"/>
  </w:num>
  <w:num w:numId="4">
    <w:abstractNumId w:val="3"/>
  </w:num>
  <w:num w:numId="5">
    <w:abstractNumId w:val="7"/>
  </w:num>
  <w:num w:numId="6">
    <w:abstractNumId w:val="0"/>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1B6046E"/>
    <w:rsid w:val="03CE68FB"/>
    <w:rsid w:val="041961A8"/>
    <w:rsid w:val="04C70F47"/>
    <w:rsid w:val="056E5276"/>
    <w:rsid w:val="06FB539B"/>
    <w:rsid w:val="07F82B6D"/>
    <w:rsid w:val="0C3C4348"/>
    <w:rsid w:val="0C872834"/>
    <w:rsid w:val="0C974041"/>
    <w:rsid w:val="0CB1115F"/>
    <w:rsid w:val="0CE64C8D"/>
    <w:rsid w:val="0D5C636E"/>
    <w:rsid w:val="0E440BB0"/>
    <w:rsid w:val="0E6637FD"/>
    <w:rsid w:val="0E6753E5"/>
    <w:rsid w:val="0E9F1F75"/>
    <w:rsid w:val="0F3D73C4"/>
    <w:rsid w:val="0FAB7A71"/>
    <w:rsid w:val="0FD01451"/>
    <w:rsid w:val="10945E1E"/>
    <w:rsid w:val="121C2504"/>
    <w:rsid w:val="122D0B62"/>
    <w:rsid w:val="133D5E0A"/>
    <w:rsid w:val="1922346A"/>
    <w:rsid w:val="19375EE1"/>
    <w:rsid w:val="1A1C7FE3"/>
    <w:rsid w:val="1A562397"/>
    <w:rsid w:val="1A7F18ED"/>
    <w:rsid w:val="1AAE2C67"/>
    <w:rsid w:val="1AF86BE0"/>
    <w:rsid w:val="1B3306B6"/>
    <w:rsid w:val="1BDE0896"/>
    <w:rsid w:val="1CF00EFC"/>
    <w:rsid w:val="1F2F00AB"/>
    <w:rsid w:val="1F3213AF"/>
    <w:rsid w:val="20746E51"/>
    <w:rsid w:val="2107263D"/>
    <w:rsid w:val="21426D4A"/>
    <w:rsid w:val="22847083"/>
    <w:rsid w:val="236757CC"/>
    <w:rsid w:val="23AF7E6A"/>
    <w:rsid w:val="23FB11F4"/>
    <w:rsid w:val="26541E80"/>
    <w:rsid w:val="27553C9D"/>
    <w:rsid w:val="29AE2A56"/>
    <w:rsid w:val="29F1586C"/>
    <w:rsid w:val="2A056AE5"/>
    <w:rsid w:val="2A164156"/>
    <w:rsid w:val="2C3529EE"/>
    <w:rsid w:val="2CC37769"/>
    <w:rsid w:val="2F2F3117"/>
    <w:rsid w:val="2FC44243"/>
    <w:rsid w:val="31092EA8"/>
    <w:rsid w:val="33FB61AD"/>
    <w:rsid w:val="342C6BC9"/>
    <w:rsid w:val="346907A6"/>
    <w:rsid w:val="35761799"/>
    <w:rsid w:val="357C2FC3"/>
    <w:rsid w:val="364634BD"/>
    <w:rsid w:val="376E6279"/>
    <w:rsid w:val="37EB1E9B"/>
    <w:rsid w:val="38170F5F"/>
    <w:rsid w:val="38A14340"/>
    <w:rsid w:val="396A2364"/>
    <w:rsid w:val="397A7E41"/>
    <w:rsid w:val="3A2C5456"/>
    <w:rsid w:val="3A8A6AFB"/>
    <w:rsid w:val="3B5B7766"/>
    <w:rsid w:val="3C8F2BC2"/>
    <w:rsid w:val="3D8263F7"/>
    <w:rsid w:val="40611EDD"/>
    <w:rsid w:val="41821FB4"/>
    <w:rsid w:val="439873F8"/>
    <w:rsid w:val="439A1644"/>
    <w:rsid w:val="442069E9"/>
    <w:rsid w:val="44C5770F"/>
    <w:rsid w:val="44EF71C4"/>
    <w:rsid w:val="45170BAD"/>
    <w:rsid w:val="461278E2"/>
    <w:rsid w:val="475D7492"/>
    <w:rsid w:val="482D6FF9"/>
    <w:rsid w:val="49470D20"/>
    <w:rsid w:val="496140CE"/>
    <w:rsid w:val="4AA416B0"/>
    <w:rsid w:val="4AE139DB"/>
    <w:rsid w:val="4B782C5C"/>
    <w:rsid w:val="4BDB0A24"/>
    <w:rsid w:val="4C31315D"/>
    <w:rsid w:val="4CB22BAD"/>
    <w:rsid w:val="4E3B1140"/>
    <w:rsid w:val="4F1909C1"/>
    <w:rsid w:val="4F6D75ED"/>
    <w:rsid w:val="51352B6B"/>
    <w:rsid w:val="53A17F68"/>
    <w:rsid w:val="53DB6C22"/>
    <w:rsid w:val="55085A60"/>
    <w:rsid w:val="5A942A10"/>
    <w:rsid w:val="5AB02E22"/>
    <w:rsid w:val="5DBD061A"/>
    <w:rsid w:val="5E932E93"/>
    <w:rsid w:val="5EA02665"/>
    <w:rsid w:val="5FA4498B"/>
    <w:rsid w:val="61130716"/>
    <w:rsid w:val="61143219"/>
    <w:rsid w:val="61707CCC"/>
    <w:rsid w:val="61A6052D"/>
    <w:rsid w:val="626B6216"/>
    <w:rsid w:val="637666C3"/>
    <w:rsid w:val="63814C5E"/>
    <w:rsid w:val="649966D5"/>
    <w:rsid w:val="672E5483"/>
    <w:rsid w:val="67CF5844"/>
    <w:rsid w:val="69D01878"/>
    <w:rsid w:val="6A1F4430"/>
    <w:rsid w:val="6B247663"/>
    <w:rsid w:val="6D087337"/>
    <w:rsid w:val="6D1F523E"/>
    <w:rsid w:val="6D38732A"/>
    <w:rsid w:val="6D557DFB"/>
    <w:rsid w:val="6DD05A39"/>
    <w:rsid w:val="6EC6360F"/>
    <w:rsid w:val="6F9A2F0D"/>
    <w:rsid w:val="6FB940CF"/>
    <w:rsid w:val="70237F96"/>
    <w:rsid w:val="713118C3"/>
    <w:rsid w:val="71C02C3F"/>
    <w:rsid w:val="71C56D5B"/>
    <w:rsid w:val="72BB5C94"/>
    <w:rsid w:val="732B3BA9"/>
    <w:rsid w:val="74D3615F"/>
    <w:rsid w:val="758572E1"/>
    <w:rsid w:val="77991C4E"/>
    <w:rsid w:val="77FA34D6"/>
    <w:rsid w:val="78024143"/>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5410</Words>
  <Characters>5952</Characters>
  <Lines>0</Lines>
  <Paragraphs>0</Paragraphs>
  <TotalTime>30</TotalTime>
  <ScaleCrop>false</ScaleCrop>
  <LinksUpToDate>false</LinksUpToDate>
  <CharactersWithSpaces>6059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2025-06-24T06:44:32Z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BA2C653E2AA34BE98BA9342F9600C06B_13</vt:lpwstr>
  </property>
  <property fmtid="{D5CDD505-2E9C-101B-9397-08002B2CF9AE}" pid="4" name="KSOTemplateDocerSaveRecord">
    <vt:lpwstr>eyJoZGlkIjoiNzdkNTM4MTkwYTE0Yjk0Y2Y4MjVlZDcwOGViZTQwYjIiLCJ1c2VySWQiOiIxMTc2NDE1MTk0In0=</vt:lpwstr>
  </property>
</Properties>
</file>