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bookmarkStart w:id="35" w:name="_GoBack"/>
      <w:bookmarkEnd w:id="35"/>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项目名称：胃液外泌体非靶代谢组学检测服务</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项目编号：BSRMYY-YNCG-2024-07001</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7.投标产品介绍（能查看到产品参数）</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8.</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ind w:left="902" w:leftChars="200" w:hanging="482" w:hangingChars="150"/>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1.公司营业执照（须圈出符合资质要求的经营范围和有效期）投标供应商应具备ISO9001质量管理体系认证；拥有自主的AB SCEIX TripleTOF 6600 /Thermo Scientific Orbitrap Exploris™ 480质谱仪，具备自主代谢物提取，质谱测序等实验条件；拥有独立的研发与分析团队，具备提供详细测序方案以及提供个性化分析的能力（请提供佐证依据）</w:t>
      </w:r>
    </w:p>
    <w:p>
      <w:pPr>
        <w:jc w:val="both"/>
        <w:rPr>
          <w:rFonts w:hint="default" w:ascii="仿宋_GB2312" w:hAnsi="Arial" w:eastAsia="仿宋_GB2312" w:cstheme="minorBidi"/>
          <w:b/>
          <w:color w:val="auto"/>
          <w:kern w:val="2"/>
          <w:sz w:val="24"/>
          <w:szCs w:val="24"/>
          <w:lang w:val="en-US" w:eastAsia="zh-CN" w:bidi="ar-SA"/>
        </w:rPr>
      </w:pP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5"/>
        <w:jc w:val="center"/>
        <w:rPr>
          <w:rFonts w:hint="default"/>
          <w:lang w:val="en-US" w:eastAsia="zh-CN"/>
        </w:rPr>
      </w:pPr>
      <w:r>
        <w:rPr>
          <w:rFonts w:hint="eastAsia" w:ascii="仿宋" w:hAnsi="仿宋" w:eastAsia="仿宋" w:cs="仿宋"/>
          <w:b/>
          <w:bCs/>
          <w:color w:val="auto"/>
          <w:sz w:val="36"/>
          <w:szCs w:val="24"/>
          <w:lang w:val="en-US" w:eastAsia="zh-CN"/>
        </w:rPr>
        <w:t>服务报价表</w:t>
      </w:r>
    </w:p>
    <w:p>
      <w:pPr>
        <w:pStyle w:val="15"/>
        <w:rPr>
          <w:rFonts w:hint="eastAsia"/>
          <w:lang w:val="en-US" w:eastAsia="zh-CN"/>
        </w:rPr>
      </w:pPr>
    </w:p>
    <w:tbl>
      <w:tblPr>
        <w:tblStyle w:val="11"/>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4659"/>
        <w:gridCol w:w="960"/>
        <w:gridCol w:w="1065"/>
        <w:gridCol w:w="1005"/>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项目</w:t>
            </w:r>
            <w:r>
              <w:rPr>
                <w:rFonts w:hint="default" w:ascii="Times New Roman" w:hAnsi="Times New Roman" w:eastAsia="仿宋" w:cs="Times New Roman"/>
                <w:b/>
                <w:kern w:val="0"/>
                <w:sz w:val="24"/>
                <w:szCs w:val="24"/>
              </w:rPr>
              <w:t>名称</w:t>
            </w:r>
          </w:p>
        </w:tc>
        <w:tc>
          <w:tcPr>
            <w:tcW w:w="4659"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服务要求</w:t>
            </w:r>
            <w:r>
              <w:rPr>
                <w:rFonts w:hint="eastAsia" w:ascii="Times New Roman" w:hAnsi="Times New Roman" w:eastAsia="仿宋" w:cs="Times New Roman"/>
                <w:b/>
                <w:bCs w:val="0"/>
                <w:kern w:val="0"/>
                <w:sz w:val="24"/>
                <w:szCs w:val="24"/>
                <w:lang w:val="en-US" w:eastAsia="zh-CN"/>
              </w:rPr>
              <w:t>（须完全响应）</w:t>
            </w:r>
          </w:p>
        </w:tc>
        <w:tc>
          <w:tcPr>
            <w:tcW w:w="960"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服务数量</w:t>
            </w:r>
          </w:p>
        </w:tc>
        <w:tc>
          <w:tcPr>
            <w:tcW w:w="1065"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w:t>
            </w:r>
          </w:p>
        </w:tc>
        <w:tc>
          <w:tcPr>
            <w:tcW w:w="1005" w:type="dxa"/>
            <w:vAlign w:val="center"/>
          </w:tcPr>
          <w:p>
            <w:pPr>
              <w:widowControl/>
              <w:spacing w:line="360" w:lineRule="auto"/>
              <w:jc w:val="center"/>
              <w:rPr>
                <w:rFonts w:hint="default" w:ascii="Times New Roman" w:hAnsi="Times New Roman" w:eastAsia="仿宋" w:cs="Times New Roman"/>
                <w:b/>
                <w:bCs w:val="0"/>
                <w:sz w:val="24"/>
                <w:szCs w:val="24"/>
                <w:lang w:val="en-US" w:eastAsia="zh-CN"/>
              </w:rPr>
            </w:pPr>
            <w:r>
              <w:rPr>
                <w:rFonts w:hint="eastAsia" w:ascii="Times New Roman" w:hAnsi="Times New Roman" w:eastAsia="仿宋" w:cs="Times New Roman"/>
                <w:b/>
                <w:bCs w:val="0"/>
                <w:sz w:val="24"/>
                <w:szCs w:val="24"/>
                <w:lang w:val="en-US" w:eastAsia="zh-CN"/>
              </w:rPr>
              <w:t>合计</w:t>
            </w:r>
          </w:p>
        </w:tc>
        <w:tc>
          <w:tcPr>
            <w:tcW w:w="1001" w:type="dxa"/>
            <w:vAlign w:val="center"/>
          </w:tcPr>
          <w:p>
            <w:pPr>
              <w:widowControl/>
              <w:spacing w:line="360" w:lineRule="auto"/>
              <w:jc w:val="center"/>
              <w:rPr>
                <w:rFonts w:hint="eastAsia"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1</w:t>
            </w:r>
          </w:p>
        </w:tc>
        <w:tc>
          <w:tcPr>
            <w:tcW w:w="1323" w:type="dxa"/>
            <w:tcBorders>
              <w:top w:val="single" w:color="auto" w:sz="4" w:space="0"/>
              <w:left w:val="single" w:color="auto" w:sz="4" w:space="0"/>
              <w:bottom w:val="single" w:color="auto" w:sz="4" w:space="0"/>
              <w:right w:val="single" w:color="auto" w:sz="4" w:space="0"/>
            </w:tcBorders>
            <w:vAlign w:val="center"/>
          </w:tcPr>
          <w:p>
            <w:pPr>
              <w:pStyle w:val="2"/>
              <w:rPr>
                <w:rFonts w:hint="default" w:ascii="宋体" w:hAnsi="宋体" w:eastAsia="宋体" w:cs="宋体"/>
                <w:b w:val="0"/>
                <w:color w:val="000000"/>
                <w:kern w:val="0"/>
                <w:sz w:val="22"/>
                <w:szCs w:val="22"/>
                <w:lang w:val="en-US" w:eastAsia="zh-CN" w:bidi="ar"/>
              </w:rPr>
            </w:pPr>
            <w:r>
              <w:rPr>
                <w:rFonts w:ascii="微软雅黑" w:hAnsi="微软雅黑" w:eastAsia="微软雅黑" w:cs="微软雅黑"/>
                <w:i w:val="0"/>
                <w:iCs w:val="0"/>
                <w:caps w:val="0"/>
                <w:color w:val="000000"/>
                <w:spacing w:val="0"/>
                <w:sz w:val="21"/>
                <w:szCs w:val="21"/>
                <w:shd w:val="clear" w:color="auto" w:fill="FFFFFF"/>
              </w:rPr>
              <w:t>胃液外泌体非靶代谢组学检测</w:t>
            </w:r>
            <w:r>
              <w:rPr>
                <w:rFonts w:hint="eastAsia" w:ascii="微软雅黑" w:hAnsi="微软雅黑" w:eastAsia="微软雅黑" w:cs="微软雅黑"/>
                <w:i w:val="0"/>
                <w:iCs w:val="0"/>
                <w:caps w:val="0"/>
                <w:color w:val="000000"/>
                <w:spacing w:val="0"/>
                <w:sz w:val="21"/>
                <w:szCs w:val="21"/>
                <w:shd w:val="clear" w:color="auto" w:fill="FFFFFF"/>
                <w:lang w:val="en-US" w:eastAsia="zh-CN"/>
              </w:rPr>
              <w:t>服务</w:t>
            </w:r>
          </w:p>
        </w:tc>
        <w:tc>
          <w:tcPr>
            <w:tcW w:w="4659" w:type="dxa"/>
            <w:vAlign w:val="center"/>
          </w:tcPr>
          <w:p>
            <w:pPr>
              <w:spacing w:line="360" w:lineRule="auto"/>
              <w:ind w:left="0" w:leftChars="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Times New Roman" w:eastAsia="宋体" w:cs="Times New Roman"/>
                <w:sz w:val="24"/>
                <w:szCs w:val="24"/>
              </w:rPr>
              <w:t>、项目内容：胃液外泌体非靶代谢组学检测</w:t>
            </w:r>
            <w:r>
              <w:rPr>
                <w:rFonts w:hint="eastAsia" w:ascii="Times New Roman" w:hAnsi="Times New Roman" w:eastAsia="宋体" w:cs="Times New Roman"/>
                <w:sz w:val="24"/>
                <w:szCs w:val="24"/>
                <w:lang w:val="en-US" w:eastAsia="zh-CN"/>
              </w:rPr>
              <w:t>服务</w:t>
            </w:r>
          </w:p>
          <w:p>
            <w:pPr>
              <w:spacing w:line="360" w:lineRule="auto"/>
              <w:ind w:left="0" w:leftChars="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2、测序平台：AB SCEIX TripleTOF 6600 /Thermo Scientific Orbitrap Exploris™ 480 质谱仪</w:t>
            </w:r>
          </w:p>
          <w:p>
            <w:pPr>
              <w:spacing w:line="360" w:lineRule="auto"/>
              <w:ind w:left="0" w:leftChars="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3、仪器参数：全扫描MS：100fg 上柱量利血平的S/N为150：1、SIM：50 fg  上柱量利血平的S/N为150：1，分辨率为240,000 @ m/z 200，扫描速度为40 Hz，（所有样本均采用正离子和负离子两种模式，所有样本均采集二级质谱）    </w:t>
            </w:r>
          </w:p>
          <w:p>
            <w:pPr>
              <w:spacing w:line="360" w:lineRule="auto"/>
              <w:ind w:left="0" w:leftChars="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4、数据库：由高分辨质谱采集的3万以上的本地标准品数据库高分辨质谱完成采集的100万以上的高质量二级谱图构建的数据库</w:t>
            </w:r>
          </w:p>
          <w:p>
            <w:pPr>
              <w:spacing w:line="360" w:lineRule="auto"/>
              <w:ind w:left="0" w:leftChars="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5、数据质量：鉴定结果过滤标准匹配级别为国际公认标准符合国际公认的 Metabolomics Standards Initiative（MSI）定义的可靠度标准，满足二级匹配socre &gt;0.7</w:t>
            </w:r>
          </w:p>
          <w:p>
            <w:pPr>
              <w:spacing w:line="360" w:lineRule="auto"/>
              <w:ind w:left="0" w:leftChars="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6、分析平台：原始数据经 ProteoWizard 转换成.mzXML 格式，然后采用 XCMS 软件进行峰对齐、保留 时间校正和提取峰面积。对 XCMS 提取得到的数据首先进行代谢物结构鉴定、数据预处理（空 值过滤：删除缺失值＞50%的离子峰；空值填充：KNN 填充：数据过滤：过滤 RSD&gt;50%的 feature）， 然后进行实验数据质量评价（6 大质控），最后再进行数据分析。</w:t>
            </w:r>
          </w:p>
          <w:p>
            <w:pPr>
              <w:spacing w:line="360" w:lineRule="auto"/>
              <w:ind w:left="0" w:leftChars="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六项质控：</w:t>
            </w:r>
          </w:p>
          <w:p>
            <w:pPr>
              <w:spacing w:line="360" w:lineRule="auto"/>
              <w:ind w:left="0" w:leftChars="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1）QC 样本总离子流图（TIC）基本重叠</w:t>
            </w:r>
          </w:p>
          <w:p>
            <w:pPr>
              <w:spacing w:line="360" w:lineRule="auto"/>
              <w:ind w:left="0" w:leftChars="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2）QC总体样本主成分分析（PCA）聚类效果较好，无明显离散</w:t>
            </w:r>
          </w:p>
          <w:p>
            <w:pPr>
              <w:spacing w:line="360" w:lineRule="auto"/>
              <w:ind w:left="0" w:leftChars="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3）QC 样本相关性达到0.9以上</w:t>
            </w:r>
          </w:p>
          <w:p>
            <w:pPr>
              <w:spacing w:line="360" w:lineRule="auto"/>
              <w:ind w:left="0" w:leftChars="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4）总体样本 Hotelling‘s T2 检验置信区间在95%或 99% </w:t>
            </w:r>
          </w:p>
          <w:p>
            <w:pPr>
              <w:spacing w:line="360" w:lineRule="auto"/>
              <w:ind w:left="0" w:leftChars="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5） QC 样本的多变量控制图波动都在正负 3 个标准差范围内， 反映仪器的波动在正常范围内</w:t>
            </w:r>
          </w:p>
          <w:p>
            <w:pPr>
              <w:spacing w:line="360" w:lineRule="auto"/>
              <w:ind w:left="0" w:leftChars="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6)  QC 样本的相对标准偏差（RSD）≤30%的 Peak 数目占 QC 样本总 Peak 数目的 80%以上</w:t>
            </w:r>
          </w:p>
          <w:p>
            <w:pPr>
              <w:spacing w:line="360" w:lineRule="auto"/>
              <w:ind w:left="0" w:leftChars="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7、检测周期：检测周期一般为1个月，</w:t>
            </w:r>
          </w:p>
          <w:p>
            <w:pPr>
              <w:spacing w:line="360" w:lineRule="auto"/>
              <w:ind w:left="0" w:leftChars="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8、分析内容：基本分析+高级分析+个性化分析+多组学关联分析</w:t>
            </w:r>
          </w:p>
          <w:p>
            <w:pPr>
              <w:ind w:left="0" w:leftChars="0" w:firstLine="0" w:firstLineChars="0"/>
              <w:rPr>
                <w:rFonts w:hint="default" w:ascii="宋体" w:hAnsi="宋体" w:eastAsia="宋体" w:cs="宋体"/>
                <w:b w:val="0"/>
                <w:color w:val="000000"/>
                <w:kern w:val="0"/>
                <w:sz w:val="22"/>
                <w:szCs w:val="22"/>
                <w:lang w:val="en-US" w:eastAsia="zh-CN" w:bidi="ar"/>
              </w:rPr>
            </w:pPr>
          </w:p>
        </w:tc>
        <w:tc>
          <w:tcPr>
            <w:tcW w:w="960"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26个样本</w:t>
            </w:r>
          </w:p>
        </w:tc>
        <w:tc>
          <w:tcPr>
            <w:tcW w:w="1065"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420元</w:t>
            </w:r>
          </w:p>
        </w:tc>
        <w:tc>
          <w:tcPr>
            <w:tcW w:w="1005"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10920元</w:t>
            </w:r>
          </w:p>
        </w:tc>
        <w:tc>
          <w:tcPr>
            <w:tcW w:w="1001" w:type="dxa"/>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商务部分：</w:t>
            </w:r>
            <w:r>
              <w:rPr>
                <w:rFonts w:hint="eastAsia" w:ascii="方正仿宋_GBK" w:hAnsi="方正仿宋_GBK" w:eastAsia="方正仿宋_GBK" w:cs="方正仿宋_GBK"/>
                <w:b/>
                <w:bCs/>
                <w:sz w:val="28"/>
                <w:szCs w:val="36"/>
                <w:lang w:val="en-US" w:eastAsia="zh-CN"/>
              </w:rPr>
              <w:t>（须完全响应）</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（一）时间地点</w:t>
            </w:r>
            <w:r>
              <w:rPr>
                <w:rFonts w:hint="eastAsia" w:ascii="宋体" w:hAnsi="宋体" w:eastAsia="宋体" w:cs="宋体"/>
                <w:color w:val="auto"/>
                <w:kern w:val="0"/>
                <w:sz w:val="24"/>
                <w:szCs w:val="24"/>
                <w:lang w:val="en-US" w:eastAsia="zh-CN"/>
              </w:rPr>
              <w:t>及报价</w:t>
            </w:r>
            <w:r>
              <w:rPr>
                <w:rFonts w:hint="eastAsia" w:ascii="宋体" w:hAnsi="宋体" w:eastAsia="宋体" w:cs="宋体"/>
                <w:color w:val="auto"/>
                <w:kern w:val="0"/>
                <w:sz w:val="24"/>
                <w:szCs w:val="24"/>
                <w:lang w:eastAsia="zh-CN"/>
              </w:rPr>
              <w:t>要求</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1.交付期限：合同签订后</w:t>
            </w:r>
            <w:r>
              <w:rPr>
                <w:rFonts w:hint="eastAsia" w:ascii="宋体" w:hAnsi="宋体" w:eastAsia="宋体" w:cs="宋体"/>
                <w:color w:val="auto"/>
                <w:kern w:val="0"/>
                <w:sz w:val="24"/>
                <w:szCs w:val="24"/>
                <w:lang w:val="en-US" w:eastAsia="zh-CN"/>
              </w:rPr>
              <w:t>30日内完成本项目</w:t>
            </w:r>
            <w:r>
              <w:rPr>
                <w:rFonts w:hint="eastAsia" w:ascii="宋体" w:hAnsi="宋体" w:eastAsia="宋体" w:cs="宋体"/>
                <w:color w:val="auto"/>
                <w:kern w:val="0"/>
                <w:sz w:val="24"/>
                <w:szCs w:val="24"/>
                <w:lang w:eastAsia="zh-CN"/>
              </w:rPr>
              <w:t>。</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w:t>
            </w:r>
            <w:r>
              <w:rPr>
                <w:rFonts w:hint="eastAsia" w:ascii="宋体" w:hAnsi="宋体" w:eastAsia="宋体" w:cs="宋体"/>
                <w:color w:val="auto"/>
                <w:kern w:val="0"/>
                <w:sz w:val="24"/>
                <w:szCs w:val="24"/>
                <w:lang w:val="en-US" w:eastAsia="zh-CN"/>
              </w:rPr>
              <w:t>服务</w:t>
            </w:r>
            <w:r>
              <w:rPr>
                <w:rFonts w:hint="eastAsia" w:ascii="宋体" w:hAnsi="宋体" w:eastAsia="宋体" w:cs="宋体"/>
                <w:color w:val="auto"/>
                <w:kern w:val="0"/>
                <w:sz w:val="24"/>
                <w:szCs w:val="24"/>
                <w:lang w:eastAsia="zh-CN"/>
              </w:rPr>
              <w:t>地点：重庆市璧山区人民医院</w:t>
            </w:r>
            <w:r>
              <w:rPr>
                <w:rFonts w:hint="eastAsia" w:ascii="宋体" w:hAnsi="宋体" w:eastAsia="宋体" w:cs="宋体"/>
                <w:color w:val="auto"/>
                <w:kern w:val="0"/>
                <w:sz w:val="24"/>
                <w:szCs w:val="24"/>
                <w:lang w:val="en-US" w:eastAsia="zh-CN"/>
              </w:rPr>
              <w:t>指</w:t>
            </w:r>
            <w:r>
              <w:rPr>
                <w:rFonts w:hint="eastAsia" w:ascii="宋体" w:hAnsi="宋体" w:eastAsia="宋体" w:cs="宋体"/>
                <w:color w:val="auto"/>
                <w:kern w:val="0"/>
                <w:sz w:val="24"/>
                <w:szCs w:val="24"/>
                <w:lang w:eastAsia="zh-CN"/>
              </w:rPr>
              <w:t>定地点。</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报价要求：本次报价为人民币包干价，包含：人工费、实验检测费、资料装订及邮寄费、标本运输费、生物安全管理费、税费、数据保密费、保险费、验收检测费等完成本项目所需的一切费用。因成交供应商自身原因造成漏报、少报皆由其自行承担责任，采购人不再补偿。服务期间发生的安全责任事故由供应商自行承担。</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（二）付款方式</w:t>
            </w:r>
          </w:p>
          <w:p>
            <w:pPr>
              <w:snapToGrid w:val="0"/>
              <w:spacing w:line="360" w:lineRule="auto"/>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bookmarkStart w:id="0" w:name="_Toc267320052"/>
            <w:r>
              <w:rPr>
                <w:rFonts w:hint="eastAsia" w:ascii="宋体" w:hAnsi="宋体" w:eastAsia="宋体" w:cs="宋体"/>
                <w:color w:val="000000" w:themeColor="text1"/>
                <w:kern w:val="0"/>
                <w:sz w:val="24"/>
                <w:szCs w:val="24"/>
                <w:lang w:val="en-US" w:eastAsia="zh-CN"/>
                <w14:textFill>
                  <w14:solidFill>
                    <w14:schemeClr w14:val="tx1"/>
                  </w14:solidFill>
                </w14:textFill>
              </w:rPr>
              <w:t>合同签订后</w:t>
            </w:r>
            <w:bookmarkStart w:id="1" w:name="_Toc520204758"/>
            <w:bookmarkStart w:id="2" w:name="_Toc24569668"/>
            <w:bookmarkStart w:id="3" w:name="_Toc12794"/>
            <w:bookmarkStart w:id="4" w:name="_Toc31427"/>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供应商开具相应金额的发票，采购人在10日内支付</w:t>
            </w:r>
            <w:r>
              <w:rPr>
                <w:rFonts w:hint="eastAsia" w:ascii="宋体" w:hAnsi="宋体" w:eastAsia="宋体" w:cs="宋体"/>
                <w:color w:val="000000" w:themeColor="text1"/>
                <w:kern w:val="0"/>
                <w:sz w:val="24"/>
                <w:szCs w:val="24"/>
                <w:lang w:val="en-US" w:eastAsia="zh-CN"/>
                <w14:textFill>
                  <w14:solidFill>
                    <w14:schemeClr w14:val="tx1"/>
                  </w14:solidFill>
                </w14:textFill>
              </w:rPr>
              <w:t>支付全部服务费</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bookmarkEnd w:id="1"/>
          <w:bookmarkEnd w:id="2"/>
          <w:bookmarkEnd w:id="3"/>
          <w:bookmarkEnd w:id="4"/>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（三）合同签订</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成交供应商在接到成交通知后10日内与采购人签订采购合同和廉政购销协议。</w:t>
            </w:r>
          </w:p>
          <w:bookmarkEnd w:id="0"/>
          <w:p>
            <w:pPr>
              <w:snapToGrid w:val="0"/>
              <w:spacing w:line="360" w:lineRule="auto"/>
              <w:ind w:firstLine="560" w:firstLineChars="200"/>
              <w:rPr>
                <w:rFonts w:hint="eastAsia" w:ascii="宋体" w:hAnsi="宋体" w:eastAsia="宋体" w:cs="宋体"/>
                <w:color w:val="auto"/>
                <w:kern w:val="0"/>
                <w:sz w:val="24"/>
                <w:szCs w:val="24"/>
                <w:lang w:val="en-US" w:eastAsia="zh-CN"/>
              </w:rPr>
            </w:pPr>
            <w:r>
              <w:rPr>
                <w:rFonts w:hint="eastAsia" w:ascii="方正仿宋_GBK" w:hAnsi="方正仿宋_GBK" w:eastAsia="方正仿宋_GBK" w:cs="方正仿宋_GBK"/>
                <w:sz w:val="28"/>
                <w:szCs w:val="36"/>
              </w:rPr>
              <w:t>（四）</w:t>
            </w:r>
            <w:r>
              <w:rPr>
                <w:rFonts w:hint="eastAsia" w:ascii="宋体" w:hAnsi="宋体" w:eastAsia="宋体" w:cs="宋体"/>
                <w:color w:val="auto"/>
                <w:kern w:val="0"/>
                <w:sz w:val="24"/>
                <w:szCs w:val="24"/>
                <w:lang w:val="en-US" w:eastAsia="zh-CN"/>
              </w:rPr>
              <w:t>培训及验收</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1.在规定时间内完成交付正式使用，并经采购人确认。</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2.按照考核标准和服务内容对供应商服务内容进行验收，如考核不合格将承担相应违约责任。</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3.服务结束后，采购人对项目数据有质疑，应协助采购人调查。</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（六）质量保证及售后服务</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1.质量保证</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数据真实可靠，随时接受复核检测。</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2.售后服务</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（1）投标人须依据招标参数及后期合同，如实履行样品检测及数据分析，保证科研数据真实可靠。</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（2）投标人需在合同期内随时解答与项目技术及数据分析相关问题，做好售后。</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（3）售后服务期以招标人科研成果产出需求为准。</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（七）</w:t>
            </w:r>
            <w:bookmarkStart w:id="5" w:name="_Toc3955"/>
            <w:r>
              <w:rPr>
                <w:rFonts w:hint="eastAsia" w:ascii="宋体" w:hAnsi="宋体" w:eastAsia="宋体" w:cs="宋体"/>
                <w:color w:val="auto"/>
                <w:kern w:val="0"/>
                <w:sz w:val="24"/>
                <w:szCs w:val="24"/>
                <w:lang w:val="en-US" w:eastAsia="zh-CN"/>
              </w:rPr>
              <w:t>踏勘</w:t>
            </w:r>
            <w:bookmarkEnd w:id="5"/>
            <w:r>
              <w:rPr>
                <w:rFonts w:hint="eastAsia" w:ascii="宋体" w:hAnsi="宋体" w:eastAsia="宋体" w:cs="宋体"/>
                <w:color w:val="auto"/>
                <w:kern w:val="0"/>
                <w:sz w:val="24"/>
                <w:szCs w:val="24"/>
                <w:lang w:val="en-US" w:eastAsia="zh-CN"/>
              </w:rPr>
              <w:t>现场</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（八）知识产权</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采购人在中华人民共和国境内使用供应商提供的货物及服务时免受第三方提出的侵犯其专利权或其它知识产权的起诉。如果第三方提出侵权指控，供应商应承担由此而引起的一切法律责任和费用。</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九）违约责任：中标供应商未在约定期限提供正式服务，延迟每日支付千分之三的违约金，超过30日未能交付，采购人有权解除合同；按照考核要求验收不合格，使用中发现产品质量缺陷，采购人有权要求供应商整改，整改期限为10日，整改期限届满仍未完成的供应商每日支付千分之三的违约金，超过20日未能完成整改，采购人有权解除合同；因不能按期交付，整改期限届满以及其他原因导致采购人解除合同，以及供应商明确表示终止合同，供应商需承担合同总金额30%的违约金，并承担对采购人造成的损失。</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（十）中选标准：本项目采用最低评标价法评选。如超出投标报价、未在规定的时间内上交资料及资料不齐全的为无效报价。</w:t>
            </w:r>
          </w:p>
          <w:p>
            <w:pPr>
              <w:snapToGrid w:val="0"/>
              <w:spacing w:line="360" w:lineRule="auto"/>
              <w:ind w:firstLine="480" w:firstLineChars="200"/>
              <w:rPr>
                <w:rFonts w:hint="eastAsia" w:eastAsia="微软雅黑"/>
                <w:lang w:val="en-US" w:eastAsia="zh-CN"/>
              </w:rPr>
            </w:pPr>
            <w:r>
              <w:rPr>
                <w:rFonts w:hint="eastAsia" w:ascii="宋体" w:hAnsi="宋体" w:eastAsia="宋体" w:cs="宋体"/>
                <w:color w:val="auto"/>
                <w:kern w:val="0"/>
                <w:sz w:val="24"/>
                <w:szCs w:val="24"/>
                <w:lang w:val="en-US" w:eastAsia="zh-CN"/>
              </w:rPr>
              <w:t>（十一）其他要求：1.本次采购过程中如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Times New Roman" w:hAnsi="Times New Roman" w:eastAsia="微软雅黑" w:cs="Times New Roman"/>
                <w:i w:val="0"/>
                <w:caps w:val="0"/>
                <w:color w:val="555555"/>
                <w:spacing w:val="0"/>
                <w:kern w:val="0"/>
                <w:sz w:val="21"/>
                <w:szCs w:val="21"/>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承诺：完全响应采购人的服务要求和商务要求，对本次投标资料的真实性负责。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 xml:space="preserve">供应商名称（盖章）：               </w:t>
            </w:r>
          </w:p>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微软雅黑" w:cs="Times New Roman"/>
                <w:i w:val="0"/>
                <w:caps w:val="0"/>
                <w:color w:val="555555"/>
                <w:spacing w:val="0"/>
                <w:kern w:val="0"/>
                <w:sz w:val="21"/>
                <w:szCs w:val="21"/>
                <w:lang w:val="en-US" w:eastAsia="zh-CN" w:bidi="ar"/>
              </w:rPr>
              <w:t xml:space="preserve">                                           日期：               </w:t>
            </w:r>
          </w:p>
        </w:tc>
      </w:tr>
    </w:tbl>
    <w:p>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6" w:name="_Toc173677397"/>
      <w:bookmarkStart w:id="7" w:name="_Toc156730450"/>
      <w:bookmarkStart w:id="8" w:name="_Toc175017342"/>
      <w:bookmarkStart w:id="9" w:name="_Toc156196559"/>
      <w:bookmarkStart w:id="10" w:name="_Toc166549448"/>
      <w:bookmarkStart w:id="11" w:name="_Toc166139912"/>
      <w:bookmarkStart w:id="12" w:name="_Toc156815770"/>
      <w:bookmarkStart w:id="13" w:name="_Toc128229745"/>
      <w:bookmarkStart w:id="14" w:name="_Toc128229302"/>
      <w:bookmarkStart w:id="15" w:name="_Toc128229916"/>
      <w:bookmarkStart w:id="16" w:name="_Toc156196470"/>
      <w:r>
        <w:rPr>
          <w:rFonts w:hint="eastAsia" w:ascii="仿宋_GB2312" w:eastAsia="仿宋_GB2312"/>
          <w:color w:val="auto"/>
          <w:sz w:val="28"/>
          <w:szCs w:val="28"/>
        </w:rPr>
        <w:t>特此证明。</w:t>
      </w:r>
      <w:bookmarkEnd w:id="6"/>
      <w:bookmarkEnd w:id="7"/>
      <w:bookmarkEnd w:id="8"/>
      <w:bookmarkEnd w:id="9"/>
      <w:bookmarkEnd w:id="10"/>
      <w:bookmarkEnd w:id="11"/>
      <w:bookmarkEnd w:id="12"/>
      <w:bookmarkEnd w:id="13"/>
      <w:bookmarkEnd w:id="14"/>
      <w:bookmarkEnd w:id="15"/>
      <w:bookmarkEnd w:id="16"/>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7" w:name="_Toc173677398"/>
      <w:bookmarkStart w:id="18" w:name="_Toc156196560"/>
      <w:bookmarkStart w:id="19" w:name="_Toc175017343"/>
      <w:bookmarkStart w:id="20" w:name="_Toc166549449"/>
      <w:bookmarkStart w:id="21" w:name="_Toc156196471"/>
      <w:bookmarkStart w:id="22" w:name="_Toc128229917"/>
      <w:bookmarkStart w:id="23" w:name="_Toc128229746"/>
      <w:bookmarkStart w:id="24" w:name="_Toc156730451"/>
      <w:bookmarkStart w:id="25" w:name="_Toc156815771"/>
      <w:bookmarkStart w:id="26" w:name="_Toc166139913"/>
      <w:bookmarkStart w:id="27" w:name="_Toc128229303"/>
      <w:r>
        <w:rPr>
          <w:rFonts w:hint="eastAsia" w:ascii="仿宋_GB2312" w:eastAsia="仿宋_GB2312"/>
          <w:color w:val="auto"/>
          <w:sz w:val="28"/>
          <w:szCs w:val="28"/>
        </w:rPr>
        <w:t xml:space="preserve">  投标人全称</w:t>
      </w:r>
      <w:bookmarkEnd w:id="17"/>
      <w:bookmarkEnd w:id="18"/>
      <w:bookmarkEnd w:id="19"/>
      <w:bookmarkEnd w:id="20"/>
      <w:bookmarkEnd w:id="21"/>
      <w:bookmarkEnd w:id="22"/>
      <w:bookmarkEnd w:id="23"/>
      <w:bookmarkEnd w:id="24"/>
      <w:bookmarkEnd w:id="25"/>
      <w:bookmarkEnd w:id="26"/>
      <w:bookmarkEnd w:id="27"/>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                                      年   月   日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w:t>
      </w:r>
      <w:r>
        <w:rPr>
          <w:rFonts w:hint="eastAsia" w:ascii="仿宋_GB2312" w:hAnsi="宋体" w:eastAsia="仿宋_GB2312"/>
          <w:color w:val="auto"/>
          <w:sz w:val="28"/>
          <w:szCs w:val="28"/>
          <w:lang w:val="en-US" w:eastAsia="zh-CN"/>
        </w:rPr>
        <w:t>法定代表人的</w:t>
      </w:r>
      <w:r>
        <w:rPr>
          <w:rFonts w:hint="eastAsia" w:ascii="仿宋_GB2312" w:hAnsi="宋体" w:eastAsia="仿宋_GB2312"/>
          <w:color w:val="auto"/>
          <w:sz w:val="28"/>
          <w:szCs w:val="28"/>
        </w:rPr>
        <w:t>身份证或护照复印件）</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8" w:name="_Toc156196472"/>
      <w:bookmarkStart w:id="29" w:name="_Toc173677399"/>
      <w:bookmarkStart w:id="30" w:name="_Toc237057793"/>
      <w:bookmarkStart w:id="31" w:name="_Toc128229747"/>
      <w:bookmarkStart w:id="32" w:name="_Toc128229304"/>
      <w:bookmarkStart w:id="33" w:name="_Toc128014297"/>
      <w:bookmarkStart w:id="34" w:name="_Toc175017344"/>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8"/>
      <w:bookmarkEnd w:id="29"/>
      <w:bookmarkEnd w:id="30"/>
      <w:bookmarkEnd w:id="31"/>
      <w:bookmarkEnd w:id="32"/>
      <w:bookmarkEnd w:id="33"/>
      <w:bookmarkEnd w:id="34"/>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w:t>
      </w:r>
      <w:r>
        <w:rPr>
          <w:rFonts w:hint="eastAsia" w:ascii="仿宋_GB2312" w:hAnsi="宋体" w:eastAsia="仿宋_GB2312"/>
          <w:color w:val="auto"/>
          <w:sz w:val="28"/>
          <w:szCs w:val="28"/>
          <w:lang w:val="en-US" w:eastAsia="zh-CN"/>
        </w:rPr>
        <w:t>被授权人的</w:t>
      </w:r>
      <w:r>
        <w:rPr>
          <w:rFonts w:hint="eastAsia" w:ascii="仿宋_GB2312" w:hAnsi="宋体" w:eastAsia="仿宋_GB2312"/>
          <w:color w:val="auto"/>
          <w:sz w:val="28"/>
          <w:szCs w:val="28"/>
        </w:rPr>
        <w:t>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6.其他可以证明投标人有能力完成本项目的佐证材料（如人员配置、设备清单及实验室条件）</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7.服务配套产品介绍（能查看到产品参数）</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3E2337A"/>
    <w:rsid w:val="0C872834"/>
    <w:rsid w:val="0CC33F47"/>
    <w:rsid w:val="0CE64C8D"/>
    <w:rsid w:val="0FD01451"/>
    <w:rsid w:val="122D0B62"/>
    <w:rsid w:val="1922346A"/>
    <w:rsid w:val="1AF86BE0"/>
    <w:rsid w:val="1BDE0896"/>
    <w:rsid w:val="1CF00EFC"/>
    <w:rsid w:val="1FA67FFA"/>
    <w:rsid w:val="21426D4A"/>
    <w:rsid w:val="236757CC"/>
    <w:rsid w:val="24E05FC0"/>
    <w:rsid w:val="2CEC7C70"/>
    <w:rsid w:val="2E2F3D72"/>
    <w:rsid w:val="2FC44243"/>
    <w:rsid w:val="31FB77D3"/>
    <w:rsid w:val="33FB61AD"/>
    <w:rsid w:val="37545739"/>
    <w:rsid w:val="376E6279"/>
    <w:rsid w:val="43FA3134"/>
    <w:rsid w:val="485376B2"/>
    <w:rsid w:val="496140CE"/>
    <w:rsid w:val="49720CB8"/>
    <w:rsid w:val="4AE139DB"/>
    <w:rsid w:val="4BDB0A24"/>
    <w:rsid w:val="4C31315D"/>
    <w:rsid w:val="59BA3E3C"/>
    <w:rsid w:val="61130716"/>
    <w:rsid w:val="61143219"/>
    <w:rsid w:val="61FF5DDB"/>
    <w:rsid w:val="626B6216"/>
    <w:rsid w:val="67A74257"/>
    <w:rsid w:val="69D01878"/>
    <w:rsid w:val="6AA47354"/>
    <w:rsid w:val="6B69706A"/>
    <w:rsid w:val="6DD05A39"/>
    <w:rsid w:val="6EC6360F"/>
    <w:rsid w:val="713118C3"/>
    <w:rsid w:val="71C02C3F"/>
    <w:rsid w:val="72BB5C94"/>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4"/>
    <w:next w:val="10"/>
    <w:qFormat/>
    <w:uiPriority w:val="0"/>
    <w:pPr>
      <w:spacing w:line="360" w:lineRule="auto"/>
      <w:ind w:firstLine="420"/>
    </w:pPr>
    <w:rPr>
      <w:rFonts w:ascii="宋体" w:hAnsi="宋体"/>
      <w:sz w:val="24"/>
    </w:rPr>
  </w:style>
  <w:style w:type="paragraph" w:styleId="10">
    <w:name w:val="Body Text First Indent 2"/>
    <w:basedOn w:val="5"/>
    <w:qFormat/>
    <w:uiPriority w:val="0"/>
    <w:pPr>
      <w:spacing w:after="120" w:afterLines="0" w:line="240" w:lineRule="auto"/>
      <w:ind w:left="420" w:leftChars="200" w:firstLine="420" w:firstLineChars="200"/>
    </w:pPr>
  </w:style>
  <w:style w:type="character" w:styleId="13">
    <w:name w:val="Strong"/>
    <w:basedOn w:val="12"/>
    <w:qFormat/>
    <w:uiPriority w:val="0"/>
    <w:rPr>
      <w:b/>
    </w:rPr>
  </w:style>
  <w:style w:type="paragraph" w:customStyle="1" w:styleId="1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6">
    <w:name w:val="font91"/>
    <w:basedOn w:val="12"/>
    <w:qFormat/>
    <w:uiPriority w:val="0"/>
    <w:rPr>
      <w:rFonts w:ascii="楷体" w:hAnsi="楷体" w:eastAsia="楷体" w:cs="楷体"/>
      <w:color w:val="000000"/>
      <w:sz w:val="22"/>
      <w:szCs w:val="22"/>
      <w:u w:val="none"/>
      <w:vertAlign w:val="superscript"/>
    </w:rPr>
  </w:style>
  <w:style w:type="character" w:customStyle="1" w:styleId="17">
    <w:name w:val="font21"/>
    <w:basedOn w:val="12"/>
    <w:qFormat/>
    <w:uiPriority w:val="0"/>
    <w:rPr>
      <w:rFonts w:hint="eastAsia" w:ascii="仿宋" w:hAnsi="仿宋" w:eastAsia="仿宋" w:cs="仿宋"/>
      <w:b/>
      <w:bCs/>
      <w:color w:val="000000"/>
      <w:sz w:val="24"/>
      <w:szCs w:val="24"/>
      <w:u w:val="none"/>
    </w:rPr>
  </w:style>
  <w:style w:type="paragraph" w:customStyle="1" w:styleId="18">
    <w:name w:val="BodyText"/>
    <w:basedOn w:val="1"/>
    <w:next w:val="19"/>
    <w:qFormat/>
    <w:uiPriority w:val="0"/>
    <w:pPr>
      <w:jc w:val="both"/>
      <w:textAlignment w:val="baseline"/>
    </w:pPr>
    <w:rPr>
      <w:rFonts w:ascii="仿宋_GB2312" w:eastAsia="仿宋_GB2312"/>
      <w:kern w:val="2"/>
      <w:sz w:val="32"/>
      <w:lang w:val="en-US" w:eastAsia="zh-CN" w:bidi="ar-SA"/>
    </w:rPr>
  </w:style>
  <w:style w:type="paragraph" w:customStyle="1" w:styleId="19">
    <w:name w:val="BodyTextIndent"/>
    <w:basedOn w:val="1"/>
    <w:qFormat/>
    <w:uiPriority w:val="0"/>
    <w:pPr>
      <w:spacing w:line="700" w:lineRule="exact"/>
      <w:ind w:left="960"/>
      <w:jc w:val="both"/>
      <w:textAlignment w:val="baseline"/>
    </w:pPr>
    <w:rPr>
      <w:kern w:val="2"/>
      <w:sz w:val="44"/>
      <w:lang w:val="en-US" w:eastAsia="zh-CN" w:bidi="ar-SA"/>
    </w:rPr>
  </w:style>
  <w:style w:type="paragraph" w:styleId="20">
    <w:name w:val="List Paragraph"/>
    <w:basedOn w:val="1"/>
    <w:qFormat/>
    <w:uiPriority w:val="34"/>
    <w:pPr>
      <w:ind w:firstLine="420" w:firstLineChars="200"/>
    </w:pPr>
  </w:style>
  <w:style w:type="paragraph" w:customStyle="1" w:styleId="21">
    <w:name w:val="HtmlPre"/>
    <w:basedOn w:val="1"/>
    <w:qFormat/>
    <w:uiPriority w:val="0"/>
    <w:pPr>
      <w:jc w:val="both"/>
      <w:textAlignment w:val="baseline"/>
    </w:pPr>
    <w:rPr>
      <w:rFonts w:ascii="Courier New" w:hAnsi="Courier New"/>
      <w:kern w:val="2"/>
      <w:sz w:val="20"/>
      <w:szCs w:val="24"/>
      <w:lang w:val="en-US" w:eastAsia="zh-CN" w:bidi="ar-SA"/>
    </w:rPr>
  </w:style>
  <w:style w:type="paragraph" w:customStyle="1" w:styleId="2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2</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2024-07-09T16:08:07Z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