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eastAsia="微软雅黑"/>
          <w:sz w:val="44"/>
          <w:szCs w:val="44"/>
          <w:lang w:val="en-US" w:eastAsia="zh-CN"/>
        </w:rPr>
      </w:pPr>
      <w:r>
        <w:rPr>
          <w:rFonts w:hint="eastAsia"/>
          <w:sz w:val="44"/>
          <w:szCs w:val="44"/>
          <w:lang w:val="en-US" w:eastAsia="zh-CN"/>
        </w:rPr>
        <w:t>项目名称：靶向H4000（H800+H2400）代谢组学检测</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1069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80"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项目</w:t>
            </w:r>
            <w:r>
              <w:rPr>
                <w:rFonts w:hint="eastAsia" w:ascii="方正仿宋_GBK" w:hAnsi="方正仿宋_GBK" w:eastAsia="方正仿宋_GBK" w:cs="方正仿宋_GBK"/>
                <w:b/>
                <w:bCs/>
                <w:kern w:val="0"/>
                <w:sz w:val="28"/>
                <w:szCs w:val="28"/>
              </w:rPr>
              <w:t>名称</w:t>
            </w:r>
          </w:p>
        </w:tc>
        <w:tc>
          <w:tcPr>
            <w:tcW w:w="1158"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总价最高限价（元）</w:t>
            </w:r>
          </w:p>
        </w:tc>
        <w:tc>
          <w:tcPr>
            <w:tcW w:w="1204" w:type="pct"/>
            <w:vAlign w:val="center"/>
          </w:tcPr>
          <w:p w14:paraId="60BBC92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履约</w:t>
            </w:r>
            <w:r>
              <w:rPr>
                <w:rFonts w:hint="eastAsia" w:ascii="方正仿宋_GBK" w:hAnsi="方正仿宋_GBK" w:eastAsia="方正仿宋_GBK" w:cs="方正仿宋_GBK"/>
                <w:b/>
                <w:bCs/>
                <w:kern w:val="0"/>
                <w:sz w:val="28"/>
                <w:szCs w:val="28"/>
                <w:lang w:eastAsia="zh-CN"/>
              </w:rPr>
              <w:t>保证金</w:t>
            </w:r>
          </w:p>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（元）</w:t>
            </w:r>
          </w:p>
        </w:tc>
        <w:tc>
          <w:tcPr>
            <w:tcW w:w="842"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eastAsia="zh-CN"/>
              </w:rPr>
              <w:t>成交供应商数量（名）</w:t>
            </w:r>
          </w:p>
        </w:tc>
      </w:tr>
      <w:tr w14:paraId="683A9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547CC27F">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480" w:type="pct"/>
            <w:vAlign w:val="center"/>
          </w:tcPr>
          <w:p w14:paraId="3A4DD381">
            <w:pPr>
              <w:jc w:val="left"/>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sz w:val="24"/>
                <w:szCs w:val="24"/>
                <w:lang w:val="en-US" w:eastAsia="zh-CN"/>
              </w:rPr>
              <w:t>靶向H4000（H800+H2400）代谢组学检测</w:t>
            </w:r>
          </w:p>
        </w:tc>
        <w:tc>
          <w:tcPr>
            <w:tcW w:w="1158"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36000</w:t>
            </w:r>
          </w:p>
        </w:tc>
        <w:tc>
          <w:tcPr>
            <w:tcW w:w="1204"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3600</w:t>
            </w:r>
          </w:p>
        </w:tc>
        <w:tc>
          <w:tcPr>
            <w:tcW w:w="842"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1</w:t>
            </w:r>
          </w:p>
        </w:tc>
      </w:tr>
      <w:tr w14:paraId="3F84F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3901EB93">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采购项目总价最高限价36000元，包括但不限于项目检测服务费、标本运输保存销毁、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6"/>
        <w:numPr>
          <w:ilvl w:val="0"/>
          <w:numId w:val="0"/>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二、技术要求（需全部满足）</w:t>
      </w:r>
    </w:p>
    <w:tbl>
      <w:tblPr>
        <w:tblStyle w:val="13"/>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3146"/>
        <w:gridCol w:w="3962"/>
        <w:gridCol w:w="709"/>
        <w:gridCol w:w="655"/>
        <w:gridCol w:w="1460"/>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6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845"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服务内容</w:t>
            </w:r>
          </w:p>
        </w:tc>
        <w:tc>
          <w:tcPr>
            <w:tcW w:w="330"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305"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80"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8" w:hRule="atLeast"/>
          <w:jc w:val="center"/>
        </w:trPr>
        <w:tc>
          <w:tcPr>
            <w:tcW w:w="374"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465" w:type="pct"/>
            <w:shd w:val="clear" w:color="auto" w:fill="auto"/>
            <w:vAlign w:val="center"/>
          </w:tcPr>
          <w:p w14:paraId="5E5ACB0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靶向H4000（H800+H2400）代谢组学检测</w:t>
            </w:r>
          </w:p>
        </w:tc>
        <w:tc>
          <w:tcPr>
            <w:tcW w:w="1845" w:type="pct"/>
            <w:shd w:val="clear" w:color="auto" w:fill="auto"/>
            <w:vAlign w:val="center"/>
          </w:tcPr>
          <w:p w14:paraId="71B33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1.测序平台：AB SCEIX QTrap 6500+ /SCIEX Triple QuadTM 7500 质谱仪</w:t>
            </w:r>
          </w:p>
          <w:p w14:paraId="75426C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2.仪器参数：1）色谱条件：样品采用 Agilent 1290 Infinity LC 超高效液相色谱系统（UHPLC）HILIC 和 C18 色谱柱进行分离，HILIC 色谱柱柱温 35℃，C18 色谱柱柱温 40℃；2）质谱条件：ESI 源条件如下：Source temperature: 580℃，Ion Source Gas1（GS1）：45，Ion Source Gas2（GS2）：60，Curtain Gas （CUR）：35，IonSpray Voltage（IS）：+4500 V or -4500 V in positive or negative modes, respectively，采用MRM 模式监测</w:t>
            </w:r>
          </w:p>
          <w:p w14:paraId="03876D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3.分析平台：H800使用 MultiQuant 或 Analyst 软件对 MRM 原始数据进行峰提取，得到各物质的峰面积和内标峰面积的比值，根据标准曲线计算含量，最后再进行数据分析；H2400使用 Sciex OS 软件对 MRM 原始数据进行峰提取，得到各物质的峰面积和内标峰面积的比值，再进一步计算各物质的含量</w:t>
            </w:r>
          </w:p>
          <w:p w14:paraId="5F5DD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4.分析内容：数据分析内容包括单变量统计分析、多维统计分析、差异代谢物筛选、差异代谢物相关性分析、KEGG 通路分析等内容；</w:t>
            </w:r>
          </w:p>
        </w:tc>
        <w:tc>
          <w:tcPr>
            <w:tcW w:w="330" w:type="pct"/>
            <w:shd w:val="clear" w:color="auto" w:fill="auto"/>
            <w:vAlign w:val="center"/>
          </w:tcPr>
          <w:p w14:paraId="44F001C2">
            <w:pPr>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20</w:t>
            </w:r>
          </w:p>
        </w:tc>
        <w:tc>
          <w:tcPr>
            <w:tcW w:w="305" w:type="pct"/>
            <w:shd w:val="clear" w:color="auto" w:fill="auto"/>
            <w:vAlign w:val="center"/>
          </w:tcPr>
          <w:p w14:paraId="03479EA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个</w:t>
            </w:r>
          </w:p>
        </w:tc>
        <w:tc>
          <w:tcPr>
            <w:tcW w:w="680" w:type="pct"/>
            <w:shd w:val="clear" w:color="auto" w:fill="auto"/>
            <w:vAlign w:val="center"/>
          </w:tcPr>
          <w:p w14:paraId="7399834B">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1800</w:t>
            </w:r>
          </w:p>
        </w:tc>
      </w:tr>
      <w:tr w14:paraId="101F2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684" w:type="pct"/>
            <w:gridSpan w:val="3"/>
            <w:vAlign w:val="center"/>
          </w:tcPr>
          <w:p w14:paraId="1FE2CDC9">
            <w:pPr>
              <w:jc w:val="left"/>
              <w:rPr>
                <w:rFonts w:hint="default" w:ascii="方正仿宋_GBK" w:hAnsi="方正仿宋_GBK" w:eastAsia="方正仿宋_GBK" w:cs="方正仿宋_GBK"/>
                <w:sz w:val="24"/>
                <w:szCs w:val="24"/>
                <w:lang w:val="en-US" w:eastAsia="zh-CN"/>
              </w:rPr>
            </w:pPr>
          </w:p>
        </w:tc>
        <w:tc>
          <w:tcPr>
            <w:tcW w:w="635" w:type="pct"/>
            <w:gridSpan w:val="2"/>
            <w:vAlign w:val="center"/>
          </w:tcPr>
          <w:p w14:paraId="536CCC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680" w:type="pct"/>
            <w:vAlign w:val="center"/>
          </w:tcPr>
          <w:p w14:paraId="2E4A878A">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36000</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kern w:val="0"/>
          <w:sz w:val="32"/>
          <w:szCs w:val="32"/>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.具有独立承担民事责任的能力</w:t>
      </w:r>
      <w:r>
        <w:rPr>
          <w:rFonts w:hint="eastAsia" w:ascii="方正仿宋_GBK" w:hAnsi="方正仿宋_GBK" w:eastAsia="方正仿宋_GBK" w:cs="方正仿宋_GBK"/>
          <w:color w:val="auto"/>
          <w:sz w:val="32"/>
          <w:szCs w:val="32"/>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5.参加政府采购活动前三年内，在经营活动中没有重大违法记录（提供承诺函）；</w:t>
      </w:r>
    </w:p>
    <w:p w14:paraId="0BEEE7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603A8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1.公司具备ISO9001质量管理体系认证，CNAS实验室认可； </w:t>
      </w:r>
    </w:p>
    <w:p w14:paraId="33204B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2.公司拥有自主的AB SCEIX QTrap 6500+ 和SCIEX Triple QuadTM 7500质谱仪，双色谱柱分离，具备自主代谢物提取，质谱测序等实验条件；拥有独立的研发与分析团队，具备提供详细测序方案以及提供个性化分析的能力；</w:t>
      </w:r>
    </w:p>
    <w:p w14:paraId="1742A50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3.提供完成本项目所需的人员、实验室相关的资质，配套设备、耗材的合格证、注册证或备案证等；</w:t>
      </w:r>
    </w:p>
    <w:p w14:paraId="47F32D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4.提供2024年至今2份类似项目的合同及验收记录；</w:t>
      </w:r>
    </w:p>
    <w:p w14:paraId="482F74B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（二）报价要求</w:t>
      </w:r>
    </w:p>
    <w:p w14:paraId="57E8B9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本项目最高限价36000元。报价要求：本次报价采用总价进行报价，包括但不限于项目检测服务费、标本运输保存销毁、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F57FF1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收到样本后，1.5月内完成靶向H4000（H800+H2400）代谢组学检测、数据分析、数据交付等项目要求的所有服务。</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51B7ED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验收合格后，供应商提供验收记录、发票等资料，采购人全额支付。</w:t>
      </w:r>
    </w:p>
    <w:p w14:paraId="6910BA1D">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验收方式</w:t>
      </w:r>
    </w:p>
    <w:p w14:paraId="4ABF1D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根据询价文件要求(包括完成时限、完成内容、完成质量)的项目逐项验收，验收产生争议由</w:t>
      </w:r>
      <w:r>
        <w:rPr>
          <w:rFonts w:hint="eastAsia" w:ascii="方正仿宋_GBK" w:hAnsi="方正仿宋_GBK" w:eastAsia="方正仿宋_GBK" w:cs="方正仿宋_GBK"/>
          <w:b w:val="0"/>
          <w:bCs w:val="0"/>
          <w:color w:val="auto"/>
          <w:kern w:val="0"/>
          <w:sz w:val="32"/>
          <w:szCs w:val="32"/>
          <w:highlight w:val="none"/>
          <w:lang w:val="en-US" w:eastAsia="zh-CN"/>
        </w:rPr>
        <w:t>采购人择优选择</w:t>
      </w:r>
      <w:r>
        <w:rPr>
          <w:rFonts w:hint="eastAsia" w:ascii="方正仿宋_GBK" w:hAnsi="方正仿宋_GBK" w:eastAsia="方正仿宋_GBK" w:cs="方正仿宋_GBK"/>
          <w:b w:val="0"/>
          <w:bCs w:val="0"/>
          <w:color w:val="auto"/>
          <w:kern w:val="0"/>
          <w:sz w:val="32"/>
          <w:szCs w:val="32"/>
          <w:lang w:val="en-US" w:eastAsia="zh-CN"/>
        </w:rPr>
        <w:t>第三方机构进行检测，验收费用由供应商承担。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（六）服务效果考核标准</w:t>
      </w:r>
    </w:p>
    <w:p w14:paraId="65A0A3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数据质量：本项目通过六项质控内容对仪器的稳定性、实验的重复性、数据质量的可靠性进行全面评价</w:t>
      </w:r>
    </w:p>
    <w:p w14:paraId="4280968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六项质控：</w:t>
      </w:r>
    </w:p>
    <w:p w14:paraId="67136C6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 QC 样本总离子流图（TIC）双重色谱分别基本重叠</w:t>
      </w:r>
    </w:p>
    <w:p w14:paraId="00C6B10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 QC总体样本主成分分析（PCA）聚类效果较好，无明显离散</w:t>
      </w:r>
    </w:p>
    <w:p w14:paraId="64DA97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3） QC 样本相关性达到0.9以上 </w:t>
      </w:r>
    </w:p>
    <w:p w14:paraId="00B483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 Hotelling’s T2 检验通过多元变量建模对样本进行检验，定义了 95%或 99%置信区间</w:t>
      </w:r>
    </w:p>
    <w:p w14:paraId="14F135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 QC 样本的多变量控制图波动都在正负3个标准差范围内，反映仪器的波动在正常范围内</w:t>
      </w:r>
    </w:p>
    <w:p w14:paraId="1EF662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  同位素内标矫正和消除操作条件带来的波动，QC 样本的相对标准偏差（RSD）≤30%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（八）履约保证金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前，成交供应商向采购人缴纳项目履约保证金3600元（形式可为现金、支票、汇款、银行保函等）。履约保障金将用于保障项目服务的及时性和完整性、保障服务质量（服务质量争议鉴定费用将优先从履约保证金中垫付）、</w:t>
      </w:r>
      <w:r>
        <w:rPr>
          <w:rFonts w:hint="eastAsia" w:ascii="方正仿宋_GBK" w:hAnsi="方正仿宋_GBK" w:eastAsia="方正仿宋_GBK" w:cs="方正仿宋_GBK"/>
          <w:color w:val="auto"/>
          <w:sz w:val="32"/>
          <w:szCs w:val="32"/>
          <w:highlight w:val="none"/>
          <w:lang w:val="en-US" w:eastAsia="zh-CN"/>
        </w:rPr>
        <w:t>售后服务</w:t>
      </w:r>
      <w:r>
        <w:rPr>
          <w:rFonts w:hint="eastAsia" w:ascii="方正仿宋_GBK" w:hAnsi="方正仿宋_GBK" w:eastAsia="方正仿宋_GBK" w:cs="方正仿宋_GBK"/>
          <w:color w:val="auto"/>
          <w:sz w:val="32"/>
          <w:szCs w:val="32"/>
          <w:lang w:val="en-US" w:eastAsia="zh-CN"/>
        </w:rPr>
        <w:t>、供应商履约期间廉洁自律、围标串标追责和其他违约时追责。供应商无上述行为，验收完成后将一次性无息退还。如有上述行为除扣除履约保证金外，同时纳入采购人供应商不良执业记录进行管理。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（九）配套服务</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（1）保密要求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未经采购人允许，不得将服务内容提供给第三方。</w:t>
      </w:r>
    </w:p>
    <w:p w14:paraId="264806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（2）数据溯源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未按采购人要求时限交付服务内容，每延迟1日，供应商应向采购人支付合同总金额千分之三的违约金，超过30日未能交付，采购人有权单方面解除合同；项目验收不合格，采购人有权要求供应商整改，整改期限为10日，整改期限届满仍未完成的供应商每日支付合同总金额千分之三的违约金，超过20日未能完成整改，采购人有权解除合同；出现供应商检测内容虚假、数据分析错误、检测数据或患者隐私泄露等由于</w:t>
      </w:r>
      <w:r>
        <w:rPr>
          <w:rFonts w:hint="eastAsia" w:ascii="方正仿宋_GBK" w:hAnsi="方正仿宋_GBK" w:eastAsia="方正仿宋_GBK" w:cs="方正仿宋_GBK"/>
          <w:b w:val="0"/>
          <w:bCs w:val="0"/>
          <w:color w:val="auto"/>
          <w:kern w:val="0"/>
          <w:sz w:val="32"/>
          <w:szCs w:val="32"/>
          <w:lang w:val="en-US" w:eastAsia="zh-CN"/>
        </w:rPr>
        <w:t>供应商及其服务原因导致的不良事件造成采购人损失的，</w:t>
      </w:r>
      <w:r>
        <w:rPr>
          <w:rFonts w:hint="eastAsia" w:ascii="方正仿宋_GBK" w:hAnsi="方正仿宋_GBK" w:eastAsia="方正仿宋_GBK" w:cs="方正仿宋_GBK"/>
          <w:color w:val="auto"/>
          <w:sz w:val="32"/>
          <w:szCs w:val="32"/>
          <w:lang w:val="en-US" w:eastAsia="zh-CN"/>
        </w:rPr>
        <w:t>采购人有权解除合同并要求供应商退还本项目费用并承担合同总金额10倍的违约金，如违约金不足以赔偿损失的应补足损失；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12.项目服务方案（应具体到标本接收运输管理、完成进度计划、项目阶段性沟通、人员设备安排、保密措施等）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.投标廉政承诺书</w:t>
      </w:r>
    </w:p>
    <w:p w14:paraId="1C913CAD">
      <w:pPr>
        <w:rPr>
          <w:rFonts w:hint="eastAsia"/>
          <w:lang w:val="en-US" w:eastAsia="zh-CN"/>
        </w:rPr>
      </w:pP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bookmarkStart w:id="7" w:name="_GoBack"/>
      <w:bookmarkEnd w:id="7"/>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190D00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1.公司具备ISO9001质量管理体系认证，CNAS实验室认可； </w:t>
      </w:r>
    </w:p>
    <w:p w14:paraId="0CC42B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2.公司拥有自主的AB SCEIX QTrap 6500+ 和SCIEX Triple QuadTM 7500质谱仪，双色谱柱分离，具备自主代谢物提取，质谱测序等实验条件；拥有独立的研发与分析团队，具备提供详细测序方案以及提供个性化分析的能力；</w:t>
      </w:r>
    </w:p>
    <w:p w14:paraId="74E726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3.提供完成本项目所需的人员、实验室相关的资质，配套设备、耗材的合格证、注册证或备案证等；</w:t>
      </w:r>
    </w:p>
    <w:p w14:paraId="6F1BC71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4.提供2024年至今2份类似项目的合同及验收记录；</w:t>
      </w:r>
    </w:p>
    <w:p w14:paraId="478F70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5.其他法律法规有关规范。</w:t>
      </w:r>
    </w:p>
    <w:p w14:paraId="3E606421">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73677399"/>
      <w:bookmarkStart w:id="2" w:name="_Toc128014297"/>
      <w:bookmarkStart w:id="3" w:name="_Toc128229747"/>
      <w:bookmarkStart w:id="4" w:name="_Toc175017344"/>
      <w:bookmarkStart w:id="5" w:name="_Toc156196472"/>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2356" w:type="dxa"/>
            <w:noWrap w:val="0"/>
            <w:vAlign w:val="top"/>
          </w:tcPr>
          <w:p w14:paraId="764B2900">
            <w:pPr>
              <w:spacing w:line="300" w:lineRule="exact"/>
              <w:rPr>
                <w:rFonts w:ascii="微软雅黑" w:hAnsi="微软雅黑" w:eastAsia="微软雅黑" w:cs="微软雅黑"/>
                <w:sz w:val="24"/>
                <w:szCs w:val="24"/>
              </w:rPr>
            </w:pPr>
          </w:p>
        </w:tc>
        <w:tc>
          <w:tcPr>
            <w:tcW w:w="1065" w:type="dxa"/>
            <w:noWrap w:val="0"/>
            <w:vAlign w:val="top"/>
          </w:tcPr>
          <w:p w14:paraId="1EF8BF9F">
            <w:pPr>
              <w:spacing w:line="300" w:lineRule="exact"/>
              <w:rPr>
                <w:rFonts w:ascii="微软雅黑" w:hAnsi="微软雅黑" w:eastAsia="微软雅黑" w:cs="微软雅黑"/>
                <w:sz w:val="24"/>
                <w:szCs w:val="24"/>
              </w:rPr>
            </w:pPr>
          </w:p>
        </w:tc>
        <w:tc>
          <w:tcPr>
            <w:tcW w:w="2249"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2356" w:type="dxa"/>
            <w:noWrap w:val="0"/>
            <w:vAlign w:val="top"/>
          </w:tcPr>
          <w:p w14:paraId="49AAE716">
            <w:pPr>
              <w:spacing w:line="300" w:lineRule="exact"/>
              <w:rPr>
                <w:rFonts w:ascii="微软雅黑" w:hAnsi="微软雅黑" w:eastAsia="微软雅黑" w:cs="微软雅黑"/>
                <w:sz w:val="24"/>
                <w:szCs w:val="24"/>
              </w:rPr>
            </w:pPr>
          </w:p>
        </w:tc>
        <w:tc>
          <w:tcPr>
            <w:tcW w:w="1065" w:type="dxa"/>
            <w:noWrap w:val="0"/>
            <w:vAlign w:val="top"/>
          </w:tcPr>
          <w:p w14:paraId="0C02AD95">
            <w:pPr>
              <w:spacing w:line="300" w:lineRule="exact"/>
              <w:rPr>
                <w:rFonts w:ascii="微软雅黑" w:hAnsi="微软雅黑" w:eastAsia="微软雅黑" w:cs="微软雅黑"/>
                <w:sz w:val="24"/>
                <w:szCs w:val="24"/>
              </w:rPr>
            </w:pPr>
          </w:p>
        </w:tc>
        <w:tc>
          <w:tcPr>
            <w:tcW w:w="2249"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2356" w:type="dxa"/>
            <w:noWrap w:val="0"/>
            <w:vAlign w:val="top"/>
          </w:tcPr>
          <w:p w14:paraId="1E8F4A1D">
            <w:pPr>
              <w:spacing w:line="300" w:lineRule="exact"/>
              <w:rPr>
                <w:rFonts w:ascii="微软雅黑" w:hAnsi="微软雅黑" w:eastAsia="微软雅黑" w:cs="微软雅黑"/>
                <w:sz w:val="24"/>
                <w:szCs w:val="24"/>
              </w:rPr>
            </w:pPr>
          </w:p>
        </w:tc>
        <w:tc>
          <w:tcPr>
            <w:tcW w:w="1065" w:type="dxa"/>
            <w:noWrap w:val="0"/>
            <w:vAlign w:val="top"/>
          </w:tcPr>
          <w:p w14:paraId="2F923AAC">
            <w:pPr>
              <w:spacing w:line="300" w:lineRule="exact"/>
              <w:rPr>
                <w:rFonts w:ascii="微软雅黑" w:hAnsi="微软雅黑" w:eastAsia="微软雅黑" w:cs="微软雅黑"/>
                <w:sz w:val="24"/>
                <w:szCs w:val="24"/>
              </w:rPr>
            </w:pPr>
          </w:p>
        </w:tc>
        <w:tc>
          <w:tcPr>
            <w:tcW w:w="2249"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2356" w:type="dxa"/>
            <w:noWrap w:val="0"/>
            <w:vAlign w:val="top"/>
          </w:tcPr>
          <w:p w14:paraId="490BC7C9">
            <w:pPr>
              <w:spacing w:line="300" w:lineRule="exact"/>
              <w:rPr>
                <w:rFonts w:ascii="微软雅黑" w:hAnsi="微软雅黑" w:eastAsia="微软雅黑" w:cs="微软雅黑"/>
                <w:sz w:val="24"/>
                <w:szCs w:val="24"/>
              </w:rPr>
            </w:pPr>
          </w:p>
        </w:tc>
        <w:tc>
          <w:tcPr>
            <w:tcW w:w="1065" w:type="dxa"/>
            <w:noWrap w:val="0"/>
            <w:vAlign w:val="top"/>
          </w:tcPr>
          <w:p w14:paraId="30EAE67B">
            <w:pPr>
              <w:spacing w:line="300" w:lineRule="exact"/>
              <w:rPr>
                <w:rFonts w:ascii="微软雅黑" w:hAnsi="微软雅黑" w:eastAsia="微软雅黑" w:cs="微软雅黑"/>
                <w:sz w:val="24"/>
                <w:szCs w:val="24"/>
              </w:rPr>
            </w:pPr>
          </w:p>
        </w:tc>
        <w:tc>
          <w:tcPr>
            <w:tcW w:w="2249"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2356" w:type="dxa"/>
            <w:noWrap w:val="0"/>
            <w:vAlign w:val="top"/>
          </w:tcPr>
          <w:p w14:paraId="31786AD8">
            <w:pPr>
              <w:spacing w:line="300" w:lineRule="exact"/>
              <w:rPr>
                <w:rFonts w:ascii="微软雅黑" w:hAnsi="微软雅黑" w:eastAsia="微软雅黑" w:cs="微软雅黑"/>
                <w:sz w:val="24"/>
                <w:szCs w:val="24"/>
              </w:rPr>
            </w:pPr>
          </w:p>
        </w:tc>
        <w:tc>
          <w:tcPr>
            <w:tcW w:w="1065" w:type="dxa"/>
            <w:noWrap w:val="0"/>
            <w:vAlign w:val="top"/>
          </w:tcPr>
          <w:p w14:paraId="5FF79B57">
            <w:pPr>
              <w:spacing w:line="300" w:lineRule="exact"/>
              <w:rPr>
                <w:rFonts w:ascii="微软雅黑" w:hAnsi="微软雅黑" w:eastAsia="微软雅黑" w:cs="微软雅黑"/>
                <w:sz w:val="24"/>
                <w:szCs w:val="24"/>
              </w:rPr>
            </w:pPr>
          </w:p>
        </w:tc>
        <w:tc>
          <w:tcPr>
            <w:tcW w:w="2249"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2356" w:type="dxa"/>
            <w:noWrap w:val="0"/>
            <w:vAlign w:val="top"/>
          </w:tcPr>
          <w:p w14:paraId="4FE065E3">
            <w:pPr>
              <w:spacing w:line="300" w:lineRule="exact"/>
              <w:rPr>
                <w:rFonts w:ascii="微软雅黑" w:hAnsi="微软雅黑" w:eastAsia="微软雅黑" w:cs="微软雅黑"/>
                <w:sz w:val="24"/>
                <w:szCs w:val="24"/>
              </w:rPr>
            </w:pPr>
          </w:p>
        </w:tc>
        <w:tc>
          <w:tcPr>
            <w:tcW w:w="1065" w:type="dxa"/>
            <w:noWrap w:val="0"/>
            <w:vAlign w:val="top"/>
          </w:tcPr>
          <w:p w14:paraId="168E28CD">
            <w:pPr>
              <w:spacing w:line="300" w:lineRule="exact"/>
              <w:rPr>
                <w:rFonts w:ascii="微软雅黑" w:hAnsi="微软雅黑" w:eastAsia="微软雅黑" w:cs="微软雅黑"/>
                <w:sz w:val="24"/>
                <w:szCs w:val="24"/>
              </w:rPr>
            </w:pPr>
          </w:p>
        </w:tc>
        <w:tc>
          <w:tcPr>
            <w:tcW w:w="2249"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rPr>
            </w:pPr>
          </w:p>
        </w:tc>
        <w:tc>
          <w:tcPr>
            <w:tcW w:w="1065" w:type="dxa"/>
            <w:noWrap w:val="0"/>
            <w:vAlign w:val="top"/>
          </w:tcPr>
          <w:p w14:paraId="460A705A">
            <w:pPr>
              <w:spacing w:line="300" w:lineRule="exact"/>
              <w:rPr>
                <w:rFonts w:ascii="微软雅黑" w:hAnsi="微软雅黑" w:eastAsia="微软雅黑" w:cs="微软雅黑"/>
                <w:sz w:val="24"/>
                <w:szCs w:val="24"/>
              </w:rPr>
            </w:pPr>
          </w:p>
        </w:tc>
        <w:tc>
          <w:tcPr>
            <w:tcW w:w="2249"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2356" w:type="dxa"/>
            <w:noWrap w:val="0"/>
            <w:vAlign w:val="top"/>
          </w:tcPr>
          <w:p w14:paraId="4B5AC615">
            <w:pPr>
              <w:spacing w:line="300" w:lineRule="exact"/>
              <w:rPr>
                <w:rFonts w:ascii="微软雅黑" w:hAnsi="微软雅黑" w:eastAsia="微软雅黑" w:cs="微软雅黑"/>
                <w:sz w:val="24"/>
                <w:szCs w:val="24"/>
              </w:rPr>
            </w:pPr>
          </w:p>
        </w:tc>
        <w:tc>
          <w:tcPr>
            <w:tcW w:w="1065" w:type="dxa"/>
            <w:noWrap w:val="0"/>
            <w:vAlign w:val="top"/>
          </w:tcPr>
          <w:p w14:paraId="5F2D2CCF">
            <w:pPr>
              <w:spacing w:line="300" w:lineRule="exact"/>
              <w:rPr>
                <w:rFonts w:ascii="微软雅黑" w:hAnsi="微软雅黑" w:eastAsia="微软雅黑" w:cs="微软雅黑"/>
                <w:sz w:val="24"/>
                <w:szCs w:val="24"/>
              </w:rPr>
            </w:pPr>
          </w:p>
        </w:tc>
        <w:tc>
          <w:tcPr>
            <w:tcW w:w="2249"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2356" w:type="dxa"/>
            <w:noWrap w:val="0"/>
            <w:vAlign w:val="top"/>
          </w:tcPr>
          <w:p w14:paraId="4CBB5A4D">
            <w:pPr>
              <w:spacing w:line="300" w:lineRule="exact"/>
              <w:rPr>
                <w:rFonts w:ascii="微软雅黑" w:hAnsi="微软雅黑" w:eastAsia="微软雅黑" w:cs="微软雅黑"/>
                <w:sz w:val="24"/>
                <w:szCs w:val="24"/>
              </w:rPr>
            </w:pPr>
          </w:p>
        </w:tc>
        <w:tc>
          <w:tcPr>
            <w:tcW w:w="1065" w:type="dxa"/>
            <w:noWrap w:val="0"/>
            <w:vAlign w:val="top"/>
          </w:tcPr>
          <w:p w14:paraId="32399EA8">
            <w:pPr>
              <w:spacing w:line="300" w:lineRule="exact"/>
              <w:rPr>
                <w:rFonts w:ascii="微软雅黑" w:hAnsi="微软雅黑" w:eastAsia="微软雅黑" w:cs="微软雅黑"/>
                <w:sz w:val="24"/>
                <w:szCs w:val="24"/>
              </w:rPr>
            </w:pPr>
          </w:p>
        </w:tc>
        <w:tc>
          <w:tcPr>
            <w:tcW w:w="2249"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2356" w:type="dxa"/>
            <w:noWrap w:val="0"/>
            <w:vAlign w:val="top"/>
          </w:tcPr>
          <w:p w14:paraId="2F453EE4">
            <w:pPr>
              <w:spacing w:line="300" w:lineRule="exact"/>
              <w:rPr>
                <w:rFonts w:ascii="微软雅黑" w:hAnsi="微软雅黑" w:eastAsia="微软雅黑" w:cs="微软雅黑"/>
                <w:sz w:val="24"/>
                <w:szCs w:val="24"/>
              </w:rPr>
            </w:pPr>
          </w:p>
        </w:tc>
        <w:tc>
          <w:tcPr>
            <w:tcW w:w="1065" w:type="dxa"/>
            <w:noWrap w:val="0"/>
            <w:vAlign w:val="top"/>
          </w:tcPr>
          <w:p w14:paraId="60726E11">
            <w:pPr>
              <w:spacing w:line="300" w:lineRule="exact"/>
              <w:rPr>
                <w:rFonts w:ascii="微软雅黑" w:hAnsi="微软雅黑" w:eastAsia="微软雅黑" w:cs="微软雅黑"/>
                <w:sz w:val="24"/>
                <w:szCs w:val="24"/>
              </w:rPr>
            </w:pPr>
          </w:p>
        </w:tc>
        <w:tc>
          <w:tcPr>
            <w:tcW w:w="2249"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2356" w:type="dxa"/>
            <w:noWrap w:val="0"/>
            <w:vAlign w:val="top"/>
          </w:tcPr>
          <w:p w14:paraId="09FD19F7">
            <w:pPr>
              <w:spacing w:line="300" w:lineRule="exact"/>
              <w:rPr>
                <w:rFonts w:ascii="微软雅黑" w:hAnsi="微软雅黑" w:eastAsia="微软雅黑" w:cs="微软雅黑"/>
                <w:sz w:val="24"/>
                <w:szCs w:val="24"/>
              </w:rPr>
            </w:pPr>
          </w:p>
        </w:tc>
        <w:tc>
          <w:tcPr>
            <w:tcW w:w="1065" w:type="dxa"/>
            <w:noWrap w:val="0"/>
            <w:vAlign w:val="top"/>
          </w:tcPr>
          <w:p w14:paraId="3C26AA01">
            <w:pPr>
              <w:spacing w:line="300" w:lineRule="exact"/>
              <w:rPr>
                <w:rFonts w:ascii="微软雅黑" w:hAnsi="微软雅黑" w:eastAsia="微软雅黑" w:cs="微软雅黑"/>
                <w:sz w:val="24"/>
                <w:szCs w:val="24"/>
              </w:rPr>
            </w:pPr>
          </w:p>
        </w:tc>
        <w:tc>
          <w:tcPr>
            <w:tcW w:w="2249"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lang w:val="en-US" w:eastAsia="zh-CN"/>
        </w:rPr>
        <w:t>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投标服务相关资料（如资质证明、检测报告等）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4D4D3B3">
      <w:pPr>
        <w:pStyle w:val="5"/>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lang w:val="en-US" w:eastAsia="zh-CN" w:bidi="ar-SA"/>
        </w:rPr>
        <w:t>项目服务方案（应具体到标本接收运输管理、</w:t>
      </w:r>
      <w:r>
        <w:rPr>
          <w:rFonts w:hint="eastAsia" w:ascii="仿宋_GB2312" w:eastAsia="仿宋_GB2312" w:cs="宋体"/>
          <w:kern w:val="2"/>
          <w:sz w:val="32"/>
          <w:szCs w:val="32"/>
          <w:lang w:val="en-US" w:eastAsia="zh-CN" w:bidi="ar-SA"/>
        </w:rPr>
        <w:t>完成</w:t>
      </w:r>
      <w:r>
        <w:rPr>
          <w:rFonts w:hint="eastAsia" w:ascii="仿宋_GB2312" w:hAnsi="宋体" w:eastAsia="仿宋_GB2312" w:cs="宋体"/>
          <w:kern w:val="2"/>
          <w:sz w:val="32"/>
          <w:szCs w:val="32"/>
          <w:lang w:val="en-US" w:eastAsia="zh-CN" w:bidi="ar-SA"/>
        </w:rPr>
        <w:t>进度计划、项目阶段性沟通、人员设备安排、保密措施等）</w:t>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FB69"/>
    <w:multiLevelType w:val="singleLevel"/>
    <w:tmpl w:val="8822FB69"/>
    <w:lvl w:ilvl="0" w:tentative="0">
      <w:start w:val="5"/>
      <w:numFmt w:val="chineseCounting"/>
      <w:suff w:val="nothing"/>
      <w:lvlText w:val="（%1）"/>
      <w:lvlJc w:val="left"/>
      <w:rPr>
        <w:rFonts w:hint="eastAsia"/>
      </w:r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6796E28"/>
    <w:multiLevelType w:val="singleLevel"/>
    <w:tmpl w:val="16796E28"/>
    <w:lvl w:ilvl="0" w:tentative="0">
      <w:start w:val="2"/>
      <w:numFmt w:val="chineseCounting"/>
      <w:suff w:val="nothing"/>
      <w:lvlText w:val="%1、"/>
      <w:lvlJc w:val="left"/>
      <w:rPr>
        <w:rFonts w:hint="eastAsia"/>
      </w:rPr>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DCB6BF8"/>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40611EDD"/>
    <w:rsid w:val="40824F75"/>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6342AD"/>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1541</Words>
  <Characters>1969</Characters>
  <Lines>0</Lines>
  <Paragraphs>0</Paragraphs>
  <TotalTime>37</TotalTime>
  <ScaleCrop>false</ScaleCrop>
  <LinksUpToDate>false</LinksUpToDate>
  <CharactersWithSpaces>2054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2025-04-22T07:17:01Z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