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项目名称：食堂燃气灶熄火保护装置及炉头</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autoSpaceDE w:val="0"/>
        <w:autoSpaceDN w:val="0"/>
        <w:adjustRightInd w:val="0"/>
        <w:snapToGrid w:val="0"/>
        <w:spacing w:line="360" w:lineRule="auto"/>
        <w:ind w:firstLine="480"/>
        <w:rPr>
          <w:rFonts w:hint="eastAsia" w:ascii="仿宋_GB2312"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w:t>
      </w:r>
      <w:r>
        <w:rPr>
          <w:rFonts w:hint="eastAsia" w:ascii="仿宋_GB2312" w:eastAsia="仿宋_GB2312" w:cs="宋体"/>
          <w:color w:val="auto"/>
          <w:sz w:val="32"/>
          <w:szCs w:val="32"/>
          <w:lang w:val="en-US" w:eastAsia="zh-CN"/>
        </w:rPr>
        <w:t>现场踏勘表（联系人X老师，见招标公</w:t>
      </w:r>
      <w:r>
        <w:rPr>
          <w:rFonts w:hint="eastAsia" w:ascii="仿宋_GB2312" w:eastAsia="仿宋_GB2312" w:cs="宋体"/>
          <w:color w:val="auto"/>
          <w:sz w:val="32"/>
          <w:szCs w:val="32"/>
          <w:lang w:val="en-US" w:eastAsia="zh-CN"/>
        </w:rPr>
        <w:t>告，供应商自行负责在踏勘现场中所发生的人员伤亡和财产损失）</w:t>
      </w:r>
      <w:bookmarkStart w:id="29" w:name="_GoBack"/>
      <w:bookmarkEnd w:id="29"/>
    </w:p>
    <w:p>
      <w:pPr>
        <w:pStyle w:val="4"/>
        <w:ind w:left="0" w:leftChars="0" w:firstLine="419" w:firstLineChars="131"/>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6.本项目其他采购人的业绩资料（如合同或发票）。</w:t>
      </w:r>
    </w:p>
    <w:p>
      <w:pPr>
        <w:pStyle w:val="4"/>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7.其他可以证明投标人有能力完成本项目的佐证材料（如公司介绍、产品检测报告等）。</w:t>
      </w:r>
    </w:p>
    <w:p>
      <w:pPr>
        <w:ind w:firstLine="320" w:firstLineChars="100"/>
        <w:rPr>
          <w:rFonts w:hint="default"/>
          <w:lang w:val="en-US" w:eastAsia="zh-CN"/>
        </w:rPr>
      </w:pPr>
      <w:r>
        <w:rPr>
          <w:rFonts w:hint="eastAsia" w:ascii="仿宋_GB2312" w:eastAsia="仿宋_GB2312" w:cs="宋体"/>
          <w:color w:val="auto"/>
          <w:sz w:val="32"/>
          <w:szCs w:val="32"/>
          <w:lang w:val="en-US" w:eastAsia="zh-CN"/>
        </w:rPr>
        <w:t>8.</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2"/>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2"/>
        <w:rPr>
          <w:rFonts w:hint="eastAsia"/>
          <w:lang w:val="en-US" w:eastAsia="zh-CN"/>
        </w:rPr>
      </w:pPr>
    </w:p>
    <w:tbl>
      <w:tblPr>
        <w:tblStyle w:val="8"/>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5"/>
        <w:gridCol w:w="3953"/>
        <w:gridCol w:w="885"/>
        <w:gridCol w:w="900"/>
        <w:gridCol w:w="115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3953" w:type="dxa"/>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产品功能，适用范围</w:t>
            </w:r>
          </w:p>
        </w:tc>
        <w:tc>
          <w:tcPr>
            <w:tcW w:w="885" w:type="dxa"/>
            <w:noWrap w:val="0"/>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eastAsia="zh-CN"/>
              </w:rPr>
              <w:t>数量</w:t>
            </w:r>
          </w:p>
        </w:tc>
        <w:tc>
          <w:tcPr>
            <w:tcW w:w="900" w:type="dxa"/>
            <w:noWrap w:val="0"/>
            <w:vAlign w:val="center"/>
          </w:tcPr>
          <w:p>
            <w:pPr>
              <w:widowControl/>
              <w:spacing w:line="360" w:lineRule="auto"/>
              <w:jc w:val="center"/>
              <w:rPr>
                <w:rFonts w:hint="eastAsia" w:eastAsia="仿宋" w:cs="Times New Roman"/>
                <w:b/>
                <w:kern w:val="0"/>
                <w:sz w:val="24"/>
                <w:szCs w:val="24"/>
                <w:lang w:val="en-US" w:eastAsia="zh-CN"/>
              </w:rPr>
            </w:pPr>
            <w:r>
              <w:rPr>
                <w:rFonts w:hint="eastAsia" w:eastAsia="仿宋" w:cs="Times New Roman"/>
                <w:b/>
                <w:kern w:val="0"/>
                <w:sz w:val="24"/>
                <w:szCs w:val="24"/>
                <w:lang w:val="en-US" w:eastAsia="zh-CN"/>
              </w:rPr>
              <w:t>单价</w:t>
            </w:r>
          </w:p>
        </w:tc>
        <w:tc>
          <w:tcPr>
            <w:tcW w:w="1155" w:type="dxa"/>
            <w:noWrap w:val="0"/>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限价</w:t>
            </w:r>
          </w:p>
        </w:tc>
        <w:tc>
          <w:tcPr>
            <w:tcW w:w="1575" w:type="dxa"/>
            <w:noWrap w:val="0"/>
            <w:vAlign w:val="center"/>
          </w:tcPr>
          <w:p>
            <w:pPr>
              <w:widowControl/>
              <w:spacing w:line="360" w:lineRule="auto"/>
              <w:jc w:val="center"/>
              <w:rPr>
                <w:rFonts w:hint="eastAsia"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kern w:val="0"/>
                <w:sz w:val="24"/>
                <w:szCs w:val="24"/>
                <w:highlight w:val="none"/>
                <w:lang w:val="en-US" w:eastAsia="zh-CN"/>
              </w:rPr>
              <w:t>1</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eastAsia" w:eastAsia="仿宋" w:cs="Times New Roman"/>
                <w:bCs/>
                <w:sz w:val="24"/>
                <w:szCs w:val="24"/>
                <w:lang w:val="en-US" w:eastAsia="zh-CN"/>
              </w:rPr>
              <w:t>燃气灶熄火保护装置</w:t>
            </w:r>
          </w:p>
        </w:tc>
        <w:tc>
          <w:tcPr>
            <w:tcW w:w="3953" w:type="dxa"/>
            <w:noWrap w:val="0"/>
            <w:vAlign w:val="center"/>
          </w:tcPr>
          <w:p>
            <w:pPr>
              <w:widowControl/>
              <w:spacing w:line="360" w:lineRule="auto"/>
              <w:jc w:val="center"/>
              <w:rPr>
                <w:rFonts w:hint="eastAsia"/>
                <w:lang w:val="en-US" w:eastAsia="zh-CN"/>
              </w:rPr>
            </w:pPr>
            <w:r>
              <w:rPr>
                <w:rFonts w:hint="eastAsia"/>
                <w:lang w:val="en-US" w:eastAsia="zh-CN"/>
              </w:rPr>
              <w:t>熄火保护装置分为熄火保护点火控制器和电磁阀（下图为原炉头，保护装置应与炉头匹配）</w:t>
            </w:r>
          </w:p>
          <w:p>
            <w:pPr>
              <w:pStyle w:val="2"/>
              <w:rPr>
                <w:rFonts w:hint="default"/>
                <w:lang w:val="en-US" w:eastAsia="zh-CN"/>
              </w:rPr>
            </w:pPr>
            <w:r>
              <w:rPr>
                <w:rFonts w:hint="default"/>
                <w:lang w:val="en-US" w:eastAsia="zh-CN"/>
              </w:rPr>
              <w:drawing>
                <wp:inline distT="0" distB="0" distL="114300" distR="114300">
                  <wp:extent cx="2340610" cy="1755775"/>
                  <wp:effectExtent l="0" t="0" r="2540" b="15875"/>
                  <wp:docPr id="2" name="图片 1" descr="abccff269fc84a53bc6e293d07120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bccff269fc84a53bc6e293d07120b5"/>
                          <pic:cNvPicPr>
                            <a:picLocks noChangeAspect="1"/>
                          </pic:cNvPicPr>
                        </pic:nvPicPr>
                        <pic:blipFill>
                          <a:blip r:embed="rId4"/>
                          <a:stretch>
                            <a:fillRect/>
                          </a:stretch>
                        </pic:blipFill>
                        <pic:spPr>
                          <a:xfrm>
                            <a:off x="0" y="0"/>
                            <a:ext cx="2340610" cy="1755775"/>
                          </a:xfrm>
                          <a:prstGeom prst="rect">
                            <a:avLst/>
                          </a:prstGeom>
                          <a:noFill/>
                          <a:ln>
                            <a:noFill/>
                          </a:ln>
                        </pic:spPr>
                      </pic:pic>
                    </a:graphicData>
                  </a:graphic>
                </wp:inline>
              </w:drawing>
            </w:r>
          </w:p>
        </w:tc>
        <w:tc>
          <w:tcPr>
            <w:tcW w:w="885"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18套</w:t>
            </w:r>
          </w:p>
        </w:tc>
        <w:tc>
          <w:tcPr>
            <w:tcW w:w="900" w:type="dxa"/>
            <w:noWrap w:val="0"/>
            <w:vAlign w:val="center"/>
          </w:tcPr>
          <w:p>
            <w:pPr>
              <w:widowControl/>
              <w:spacing w:line="360" w:lineRule="auto"/>
              <w:jc w:val="center"/>
              <w:rPr>
                <w:rFonts w:hint="eastAsia" w:eastAsia="仿宋" w:cs="Times New Roman"/>
                <w:bCs/>
                <w:sz w:val="24"/>
                <w:szCs w:val="24"/>
                <w:lang w:val="en-US" w:eastAsia="zh-CN"/>
              </w:rPr>
            </w:pPr>
            <w:r>
              <w:rPr>
                <w:rFonts w:hint="eastAsia" w:eastAsia="仿宋" w:cs="Times New Roman"/>
                <w:bCs/>
                <w:sz w:val="24"/>
                <w:szCs w:val="24"/>
                <w:lang w:val="en-US" w:eastAsia="zh-CN"/>
              </w:rPr>
              <w:t>600元/套</w:t>
            </w:r>
          </w:p>
        </w:tc>
        <w:tc>
          <w:tcPr>
            <w:tcW w:w="1155"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10800元</w:t>
            </w:r>
          </w:p>
        </w:tc>
        <w:tc>
          <w:tcPr>
            <w:tcW w:w="1575"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kern w:val="0"/>
                <w:sz w:val="24"/>
                <w:szCs w:val="24"/>
                <w:highlight w:val="none"/>
                <w:lang w:val="en-US" w:eastAsia="zh-CN"/>
              </w:rPr>
            </w:pPr>
            <w:r>
              <w:rPr>
                <w:rFonts w:hint="eastAsia" w:eastAsia="仿宋" w:cs="Times New Roman"/>
                <w:kern w:val="0"/>
                <w:sz w:val="24"/>
                <w:szCs w:val="24"/>
                <w:highlight w:val="none"/>
                <w:lang w:val="en-US" w:eastAsia="zh-CN"/>
              </w:rPr>
              <w:t>2</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燃气灶炉头</w:t>
            </w:r>
          </w:p>
        </w:tc>
        <w:tc>
          <w:tcPr>
            <w:tcW w:w="3953" w:type="dxa"/>
            <w:noWrap w:val="0"/>
            <w:vAlign w:val="center"/>
          </w:tcPr>
          <w:p>
            <w:pPr>
              <w:widowControl/>
              <w:spacing w:line="360" w:lineRule="auto"/>
              <w:jc w:val="both"/>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适用商用燃气灶</w:t>
            </w:r>
          </w:p>
        </w:tc>
        <w:tc>
          <w:tcPr>
            <w:tcW w:w="885"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5个</w:t>
            </w:r>
          </w:p>
        </w:tc>
        <w:tc>
          <w:tcPr>
            <w:tcW w:w="900" w:type="dxa"/>
            <w:noWrap w:val="0"/>
            <w:vAlign w:val="center"/>
          </w:tcPr>
          <w:p>
            <w:pPr>
              <w:widowControl/>
              <w:spacing w:line="360" w:lineRule="auto"/>
              <w:jc w:val="center"/>
              <w:rPr>
                <w:rFonts w:hint="default" w:eastAsia="仿宋" w:cs="Times New Roman"/>
                <w:bCs/>
                <w:sz w:val="24"/>
                <w:szCs w:val="24"/>
                <w:lang w:val="en-US" w:eastAsia="zh-CN"/>
              </w:rPr>
            </w:pPr>
            <w:r>
              <w:rPr>
                <w:rFonts w:hint="eastAsia" w:eastAsia="仿宋" w:cs="Times New Roman"/>
                <w:bCs/>
                <w:sz w:val="24"/>
                <w:szCs w:val="24"/>
                <w:lang w:val="en-US" w:eastAsia="zh-CN"/>
              </w:rPr>
              <w:t>400元/个</w:t>
            </w:r>
          </w:p>
        </w:tc>
        <w:tc>
          <w:tcPr>
            <w:tcW w:w="1155" w:type="dxa"/>
            <w:noWrap w:val="0"/>
            <w:vAlign w:val="center"/>
          </w:tcPr>
          <w:p>
            <w:pPr>
              <w:widowControl/>
              <w:spacing w:line="360" w:lineRule="auto"/>
              <w:jc w:val="center"/>
              <w:rPr>
                <w:rFonts w:hint="default" w:eastAsia="仿宋" w:cs="Times New Roman"/>
                <w:bCs/>
                <w:sz w:val="24"/>
                <w:szCs w:val="24"/>
                <w:lang w:val="en-US" w:eastAsia="zh-CN"/>
              </w:rPr>
            </w:pPr>
            <w:r>
              <w:rPr>
                <w:rFonts w:hint="eastAsia" w:eastAsia="仿宋" w:cs="Times New Roman"/>
                <w:bCs/>
                <w:sz w:val="24"/>
                <w:szCs w:val="24"/>
                <w:lang w:val="en-US" w:eastAsia="zh-CN"/>
              </w:rPr>
              <w:t>2000</w:t>
            </w:r>
          </w:p>
        </w:tc>
        <w:tc>
          <w:tcPr>
            <w:tcW w:w="1575"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eastAsia="仿宋" w:cs="Times New Roman"/>
                <w:kern w:val="0"/>
                <w:sz w:val="24"/>
                <w:szCs w:val="24"/>
                <w:highlight w:val="none"/>
                <w:lang w:val="en-US" w:eastAsia="zh-CN"/>
              </w:rPr>
            </w:pPr>
            <w:r>
              <w:rPr>
                <w:rFonts w:hint="eastAsia" w:eastAsia="仿宋" w:cs="Times New Roman"/>
                <w:kern w:val="0"/>
                <w:sz w:val="24"/>
                <w:szCs w:val="24"/>
                <w:highlight w:val="none"/>
                <w:lang w:val="en-US" w:eastAsia="zh-CN"/>
              </w:rPr>
              <w:t>3</w:t>
            </w:r>
          </w:p>
        </w:tc>
        <w:tc>
          <w:tcPr>
            <w:tcW w:w="7283" w:type="dxa"/>
            <w:gridSpan w:val="4"/>
            <w:tcBorders>
              <w:top w:val="single" w:color="auto" w:sz="4" w:space="0"/>
              <w:left w:val="single" w:color="auto" w:sz="4" w:space="0"/>
              <w:bottom w:val="single" w:color="auto" w:sz="4" w:space="0"/>
            </w:tcBorders>
            <w:noWrap w:val="0"/>
            <w:vAlign w:val="center"/>
          </w:tcPr>
          <w:p>
            <w:pPr>
              <w:widowControl/>
              <w:spacing w:line="360" w:lineRule="auto"/>
              <w:jc w:val="center"/>
              <w:rPr>
                <w:rFonts w:hint="default" w:eastAsia="仿宋" w:cs="Times New Roman"/>
                <w:bCs/>
                <w:sz w:val="24"/>
                <w:szCs w:val="24"/>
                <w:lang w:val="en-US" w:eastAsia="zh-CN"/>
              </w:rPr>
            </w:pPr>
            <w:r>
              <w:rPr>
                <w:rFonts w:hint="eastAsia" w:eastAsia="仿宋" w:cs="Times New Roman"/>
                <w:bCs/>
                <w:sz w:val="24"/>
                <w:szCs w:val="24"/>
                <w:lang w:val="en-US" w:eastAsia="zh-CN"/>
              </w:rPr>
              <w:t>合计</w:t>
            </w:r>
          </w:p>
        </w:tc>
        <w:tc>
          <w:tcPr>
            <w:tcW w:w="1155" w:type="dxa"/>
            <w:noWrap w:val="0"/>
            <w:vAlign w:val="center"/>
          </w:tcPr>
          <w:p>
            <w:pPr>
              <w:widowControl/>
              <w:spacing w:line="360" w:lineRule="auto"/>
              <w:jc w:val="center"/>
              <w:rPr>
                <w:rFonts w:hint="default" w:eastAsia="仿宋" w:cs="Times New Roman"/>
                <w:bCs/>
                <w:sz w:val="24"/>
                <w:szCs w:val="24"/>
                <w:lang w:val="en-US" w:eastAsia="zh-CN"/>
              </w:rPr>
            </w:pPr>
            <w:r>
              <w:rPr>
                <w:rFonts w:hint="eastAsia" w:eastAsia="仿宋" w:cs="Times New Roman"/>
                <w:bCs/>
                <w:sz w:val="24"/>
                <w:szCs w:val="24"/>
                <w:lang w:val="en-US" w:eastAsia="zh-CN"/>
              </w:rPr>
              <w:t>12800</w:t>
            </w:r>
          </w:p>
        </w:tc>
        <w:tc>
          <w:tcPr>
            <w:tcW w:w="1575"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576" w:hRule="atLeast"/>
          <w:jc w:val="center"/>
        </w:trPr>
        <w:tc>
          <w:tcPr>
            <w:tcW w:w="10718" w:type="dxa"/>
            <w:gridSpan w:val="7"/>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公司名称（盖章）：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日期：               </w:t>
            </w:r>
          </w:p>
        </w:tc>
      </w:tr>
    </w:tbl>
    <w:p>
      <w:pPr>
        <w:numPr>
          <w:ilvl w:val="0"/>
          <w:numId w:val="0"/>
        </w:numPr>
        <w:wordWrap w:val="0"/>
        <w:spacing w:line="440" w:lineRule="exact"/>
        <w:ind w:firstLine="562" w:firstLineChars="200"/>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其他要求：1.</w:t>
      </w:r>
      <w:r>
        <w:rPr>
          <w:rFonts w:hint="eastAsia" w:ascii="方正仿宋_GBK" w:hAnsi="方正仿宋_GBK" w:eastAsia="方正仿宋_GBK" w:cs="方正仿宋_GBK"/>
          <w:color w:val="auto"/>
          <w:sz w:val="28"/>
          <w:szCs w:val="28"/>
          <w:highlight w:val="none"/>
        </w:rPr>
        <w:t>本次报价为人民币</w:t>
      </w:r>
      <w:r>
        <w:rPr>
          <w:rFonts w:hint="eastAsia" w:ascii="方正仿宋_GBK" w:hAnsi="方正仿宋_GBK" w:eastAsia="方正仿宋_GBK" w:cs="方正仿宋_GBK"/>
          <w:color w:val="auto"/>
          <w:sz w:val="28"/>
          <w:szCs w:val="28"/>
          <w:highlight w:val="none"/>
          <w:lang w:val="en-US" w:eastAsia="zh-CN"/>
        </w:rPr>
        <w:t>包干</w:t>
      </w:r>
      <w:r>
        <w:rPr>
          <w:rFonts w:hint="eastAsia" w:ascii="方正仿宋_GBK" w:hAnsi="方正仿宋_GBK" w:eastAsia="方正仿宋_GBK" w:cs="方正仿宋_GBK"/>
          <w:color w:val="auto"/>
          <w:sz w:val="28"/>
          <w:szCs w:val="28"/>
          <w:highlight w:val="none"/>
        </w:rPr>
        <w:t>价，包含：</w:t>
      </w:r>
      <w:r>
        <w:rPr>
          <w:rFonts w:hint="eastAsia" w:ascii="方正仿宋_GBK" w:hAnsi="方正仿宋_GBK" w:eastAsia="方正仿宋_GBK" w:cs="方正仿宋_GBK"/>
          <w:color w:val="auto"/>
          <w:sz w:val="28"/>
          <w:szCs w:val="28"/>
          <w:highlight w:val="none"/>
          <w:lang w:val="en-US" w:eastAsia="zh-CN"/>
        </w:rPr>
        <w:t>人工费、材料费、安装费、运输含装卸费、安全施工</w:t>
      </w:r>
      <w:r>
        <w:rPr>
          <w:rFonts w:hint="eastAsia" w:ascii="方正仿宋_GBK" w:hAnsi="方正仿宋_GBK" w:eastAsia="方正仿宋_GBK" w:cs="方正仿宋_GBK"/>
          <w:color w:val="auto"/>
          <w:sz w:val="28"/>
          <w:szCs w:val="28"/>
          <w:highlight w:val="none"/>
        </w:rPr>
        <w:t>费、税费、</w:t>
      </w:r>
      <w:r>
        <w:rPr>
          <w:rFonts w:hint="eastAsia" w:ascii="方正仿宋_GBK" w:hAnsi="方正仿宋_GBK" w:eastAsia="方正仿宋_GBK" w:cs="方正仿宋_GBK"/>
          <w:color w:val="auto"/>
          <w:sz w:val="28"/>
          <w:szCs w:val="28"/>
          <w:highlight w:val="none"/>
          <w:lang w:val="en-US" w:eastAsia="zh-CN"/>
        </w:rPr>
        <w:t>场地清洁费等</w:t>
      </w:r>
      <w:r>
        <w:rPr>
          <w:rFonts w:hint="eastAsia" w:ascii="方正仿宋_GBK" w:hAnsi="方正仿宋_GBK" w:eastAsia="方正仿宋_GBK" w:cs="方正仿宋_GBK"/>
          <w:color w:val="auto"/>
          <w:sz w:val="28"/>
          <w:szCs w:val="28"/>
          <w:highlight w:val="none"/>
        </w:rPr>
        <w:t>完成本项目</w:t>
      </w:r>
      <w:r>
        <w:rPr>
          <w:rFonts w:hint="eastAsia" w:ascii="方正仿宋_GBK" w:hAnsi="方正仿宋_GBK" w:eastAsia="方正仿宋_GBK" w:cs="方正仿宋_GBK"/>
          <w:color w:val="auto"/>
          <w:sz w:val="28"/>
          <w:szCs w:val="28"/>
          <w:highlight w:val="none"/>
          <w:lang w:val="en-US" w:eastAsia="zh-CN"/>
        </w:rPr>
        <w:t>所需</w:t>
      </w:r>
      <w:r>
        <w:rPr>
          <w:rFonts w:hint="eastAsia" w:ascii="方正仿宋_GBK" w:hAnsi="方正仿宋_GBK" w:eastAsia="方正仿宋_GBK" w:cs="方正仿宋_GBK"/>
          <w:color w:val="auto"/>
          <w:sz w:val="28"/>
          <w:szCs w:val="28"/>
          <w:highlight w:val="none"/>
        </w:rPr>
        <w:t>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highlight w:val="none"/>
          <w:lang w:val="en-US" w:eastAsia="zh-CN"/>
        </w:rPr>
        <w:t>施工中出现的安全事故由供应商自行承担。2.报价表中的服务质量及验收标准供应商须完全响应，本项目采用最低评标价法评选。如超出投标报价、未在规定的时间内上交资料及资料不齐全的为无效报价。</w:t>
      </w:r>
      <w:r>
        <w:rPr>
          <w:rFonts w:hint="eastAsia" w:ascii="方正仿宋_GBK" w:hAnsi="方正仿宋_GBK" w:eastAsia="方正仿宋_GBK" w:cs="方正仿宋_GBK"/>
          <w:b/>
          <w:bCs/>
          <w:color w:val="auto"/>
          <w:sz w:val="28"/>
          <w:szCs w:val="28"/>
          <w:highlight w:val="none"/>
          <w:u w:val="single"/>
          <w:lang w:val="en-US" w:eastAsia="zh-CN"/>
        </w:rPr>
        <w:t>3.熄火保护电火控制器和电磁阀须提供第三方质量计量监督检测中心和国家燃气用具产品质量检验检检测中心出具的检验合格报告。</w:t>
      </w:r>
      <w:r>
        <w:rPr>
          <w:rFonts w:hint="eastAsia" w:ascii="方正仿宋_GBK" w:hAnsi="方正仿宋_GBK" w:eastAsia="方正仿宋_GBK" w:cs="方正仿宋_GBK"/>
          <w:color w:val="auto"/>
          <w:sz w:val="28"/>
          <w:szCs w:val="28"/>
          <w:highlight w:val="none"/>
          <w:lang w:val="en-US" w:eastAsia="zh-CN"/>
        </w:rPr>
        <w:t>4.中标通知发出后，1周内完成安装及测试。验收合格后支付全款，付款时供应商提供发票和验收记录，质量保证期2年。5.燃气灶炉头直径为5寸，材质为生铁。</w:t>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0" w:name="_Toc173677397"/>
      <w:bookmarkStart w:id="1" w:name="_Toc175017342"/>
      <w:bookmarkStart w:id="2" w:name="_Toc128229745"/>
      <w:bookmarkStart w:id="3" w:name="_Toc128229916"/>
      <w:bookmarkStart w:id="4" w:name="_Toc156815770"/>
      <w:bookmarkStart w:id="5" w:name="_Toc166549448"/>
      <w:bookmarkStart w:id="6" w:name="_Toc156730450"/>
      <w:bookmarkStart w:id="7" w:name="_Toc156196470"/>
      <w:bookmarkStart w:id="8" w:name="_Toc128229302"/>
      <w:bookmarkStart w:id="9" w:name="_Toc166139912"/>
      <w:bookmarkStart w:id="10" w:name="_Toc156196559"/>
      <w:r>
        <w:rPr>
          <w:rFonts w:hint="eastAsia" w:ascii="仿宋_GB2312" w:eastAsia="仿宋_GB2312"/>
          <w:color w:val="auto"/>
          <w:sz w:val="28"/>
          <w:szCs w:val="28"/>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1" w:name="_Toc128229917"/>
      <w:bookmarkStart w:id="12" w:name="_Toc175017343"/>
      <w:bookmarkStart w:id="13" w:name="_Toc128229746"/>
      <w:bookmarkStart w:id="14" w:name="_Toc128229303"/>
      <w:bookmarkStart w:id="15" w:name="_Toc156196471"/>
      <w:bookmarkStart w:id="16" w:name="_Toc166139913"/>
      <w:bookmarkStart w:id="17" w:name="_Toc156196560"/>
      <w:bookmarkStart w:id="18" w:name="_Toc173677398"/>
      <w:bookmarkStart w:id="19" w:name="_Toc166549449"/>
      <w:bookmarkStart w:id="20" w:name="_Toc156730451"/>
      <w:bookmarkStart w:id="21" w:name="_Toc156815771"/>
      <w:r>
        <w:rPr>
          <w:rFonts w:hint="eastAsia" w:ascii="仿宋_GB2312" w:eastAsia="仿宋_GB2312"/>
          <w:color w:val="auto"/>
          <w:sz w:val="28"/>
          <w:szCs w:val="28"/>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28229304"/>
      <w:bookmarkStart w:id="23" w:name="_Toc156196472"/>
      <w:bookmarkStart w:id="24" w:name="_Toc128014297"/>
      <w:bookmarkStart w:id="25" w:name="_Toc173677399"/>
      <w:bookmarkStart w:id="26" w:name="_Toc237057793"/>
      <w:bookmarkStart w:id="27" w:name="_Toc175017344"/>
      <w:bookmarkStart w:id="28" w:name="_Toc128229747"/>
    </w:p>
    <w:p>
      <w:pPr>
        <w:pStyle w:val="3"/>
        <w:numPr>
          <w:ilvl w:val="0"/>
          <w:numId w:val="1"/>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2"/>
      <w:bookmarkEnd w:id="23"/>
      <w:bookmarkEnd w:id="24"/>
      <w:bookmarkEnd w:id="25"/>
      <w:bookmarkEnd w:id="26"/>
      <w:bookmarkEnd w:id="27"/>
      <w:bookmarkEnd w:id="28"/>
    </w:p>
    <w:p>
      <w:pPr>
        <w:numPr>
          <w:ilvl w:val="0"/>
          <w:numId w:val="0"/>
        </w:numPr>
        <w:jc w:val="center"/>
        <w:rPr>
          <w:b/>
          <w:bCs/>
          <w:sz w:val="32"/>
          <w:szCs w:val="32"/>
        </w:rPr>
      </w:pPr>
      <w:r>
        <w:rPr>
          <w:rFonts w:hint="eastAsia"/>
          <w:b/>
          <w:bCs/>
          <w:color w:val="auto"/>
          <w:sz w:val="32"/>
          <w:szCs w:val="32"/>
        </w:rPr>
        <w:t>投标人法定代表人授权委托书（格式）</w:t>
      </w:r>
    </w:p>
    <w:p>
      <w:pPr>
        <w:pStyle w:val="5"/>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lang w:val="en-US" w:eastAsia="zh-CN"/>
        </w:rPr>
      </w:pPr>
      <w:r>
        <w:rPr>
          <w:rFonts w:hint="eastAsia" w:ascii="仿宋" w:hAnsi="仿宋" w:eastAsia="仿宋"/>
          <w:b/>
          <w:snapToGrid w:val="0"/>
          <w:color w:val="auto"/>
          <w:kern w:val="0"/>
          <w:sz w:val="24"/>
          <w:lang w:val="en-US" w:eastAsia="zh-CN"/>
        </w:rPr>
        <w:br w:type="page"/>
      </w:r>
    </w:p>
    <w:p>
      <w:pPr>
        <w:tabs>
          <w:tab w:val="left" w:pos="6300"/>
        </w:tabs>
        <w:adjustRightInd w:val="0"/>
        <w:snapToGrid w:val="0"/>
        <w:spacing w:line="360" w:lineRule="auto"/>
        <w:jc w:val="left"/>
        <w:rPr>
          <w:rFonts w:hint="default" w:ascii="仿宋" w:hAnsi="仿宋" w:eastAsia="仿宋"/>
          <w:b/>
          <w:snapToGrid w:val="0"/>
          <w:color w:val="auto"/>
          <w:kern w:val="0"/>
          <w:sz w:val="28"/>
          <w:szCs w:val="28"/>
          <w:lang w:val="en-US" w:eastAsia="zh-CN"/>
        </w:rPr>
      </w:pPr>
      <w:r>
        <w:rPr>
          <w:rFonts w:hint="eastAsia" w:ascii="仿宋" w:hAnsi="仿宋" w:eastAsia="仿宋"/>
          <w:b/>
          <w:snapToGrid w:val="0"/>
          <w:color w:val="auto"/>
          <w:kern w:val="0"/>
          <w:sz w:val="28"/>
          <w:szCs w:val="28"/>
          <w:lang w:val="en-US" w:eastAsia="zh-CN"/>
        </w:rPr>
        <w:t>5.</w:t>
      </w:r>
      <w:r>
        <w:rPr>
          <w:rFonts w:hint="eastAsia" w:ascii="仿宋_GB2312" w:hAnsi="宋体" w:eastAsia="仿宋_GB2312"/>
          <w:b/>
          <w:snapToGrid w:val="0"/>
          <w:color w:val="auto"/>
          <w:kern w:val="0"/>
          <w:sz w:val="28"/>
          <w:szCs w:val="28"/>
          <w:lang w:val="en-US" w:eastAsia="zh-CN"/>
        </w:rPr>
        <w:t>现场踏勘情况记录表</w:t>
      </w:r>
    </w:p>
    <w:p>
      <w:pPr>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现场踏勘情况记录表</w:t>
      </w:r>
    </w:p>
    <w:tbl>
      <w:tblPr>
        <w:tblStyle w:val="8"/>
        <w:tblW w:w="85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36"/>
        <w:gridCol w:w="5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项目名称</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踏勘日期</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主要踏勘内容：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0" w:hRule="atLeast"/>
        </w:trPr>
        <w:tc>
          <w:tcPr>
            <w:tcW w:w="8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0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供应商名称：</w:t>
            </w:r>
          </w:p>
        </w:tc>
        <w:tc>
          <w:tcPr>
            <w:tcW w:w="5550"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036"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供应商踏勘人员签字：</w:t>
            </w:r>
          </w:p>
        </w:tc>
        <w:tc>
          <w:tcPr>
            <w:tcW w:w="5550"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采购人陪同人员签字：</w:t>
            </w:r>
          </w:p>
        </w:tc>
        <w:tc>
          <w:tcPr>
            <w:tcW w:w="5550"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bl>
    <w:p>
      <w:pPr>
        <w:jc w:val="both"/>
        <w:rPr>
          <w:rFonts w:hint="eastAsia" w:ascii="仿宋_GB2312" w:hAnsi="宋体" w:eastAsia="仿宋_GB2312"/>
          <w:b/>
          <w:snapToGrid w:val="0"/>
          <w:color w:val="auto"/>
          <w:kern w:val="0"/>
          <w:sz w:val="40"/>
          <w:szCs w:val="28"/>
        </w:rPr>
      </w:pPr>
    </w:p>
    <w:p>
      <w:pPr>
        <w:jc w:val="both"/>
        <w:rPr>
          <w:rFonts w:ascii="仿宋" w:hAnsi="仿宋" w:eastAsia="仿宋"/>
          <w:b/>
          <w:snapToGrid w:val="0"/>
          <w:color w:val="auto"/>
          <w:kern w:val="0"/>
          <w:sz w:val="28"/>
          <w:szCs w:val="28"/>
        </w:rPr>
      </w:pPr>
      <w:r>
        <w:rPr>
          <w:rFonts w:hint="eastAsia" w:ascii="仿宋_GB2312" w:hAnsi="宋体" w:eastAsia="仿宋_GB2312"/>
          <w:b/>
          <w:snapToGrid w:val="0"/>
          <w:color w:val="auto"/>
          <w:kern w:val="0"/>
          <w:sz w:val="40"/>
          <w:szCs w:val="28"/>
        </w:rPr>
        <w:br w:type="page"/>
      </w: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7.其他可以证明投标人有能力完成本项目的佐证材料</w:t>
      </w:r>
    </w:p>
    <w:p>
      <w:pPr>
        <w:pStyle w:val="4"/>
        <w:jc w:val="left"/>
        <w:rPr>
          <w:rFonts w:hint="eastAsia" w:ascii="仿宋_GB2312" w:hAnsi="宋体"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t>8.</w:t>
      </w:r>
      <w:r>
        <w:rPr>
          <w:rFonts w:hint="eastAsia" w:ascii="仿宋_GB2312" w:hAnsi="宋体" w:eastAsia="仿宋_GB2312"/>
          <w:b/>
          <w:snapToGrid w:val="0"/>
          <w:color w:val="auto"/>
          <w:kern w:val="0"/>
          <w:sz w:val="28"/>
          <w:szCs w:val="28"/>
          <w:lang w:val="en-US" w:eastAsia="zh-CN"/>
        </w:rPr>
        <w:t>投标</w:t>
      </w:r>
      <w:r>
        <w:rPr>
          <w:rFonts w:hint="eastAsia" w:ascii="仿宋_GB2312" w:hAnsi="宋体" w:eastAsia="仿宋_GB2312"/>
          <w:b/>
          <w:snapToGrid w:val="0"/>
          <w:color w:val="auto"/>
          <w:kern w:val="0"/>
          <w:sz w:val="28"/>
          <w:szCs w:val="28"/>
        </w:rPr>
        <w:t>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CE64C8D"/>
    <w:rsid w:val="0FD01451"/>
    <w:rsid w:val="1AF86BE0"/>
    <w:rsid w:val="1CF00EFC"/>
    <w:rsid w:val="236757CC"/>
    <w:rsid w:val="2FC44243"/>
    <w:rsid w:val="33FB61AD"/>
    <w:rsid w:val="3A6E4A5A"/>
    <w:rsid w:val="4C31315D"/>
    <w:rsid w:val="61130716"/>
    <w:rsid w:val="61143219"/>
    <w:rsid w:val="6DD05A39"/>
    <w:rsid w:val="6EC6360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Body Text"/>
    <w:basedOn w:val="1"/>
    <w:next w:val="1"/>
    <w:qFormat/>
    <w:uiPriority w:val="1"/>
    <w:rPr>
      <w:rFonts w:ascii="宋体" w:hAnsi="宋体" w:cs="宋体"/>
      <w:sz w:val="24"/>
      <w:szCs w:val="24"/>
      <w:lang w:val="zh-CN" w:bidi="zh-CN"/>
    </w:rPr>
  </w:style>
  <w:style w:type="paragraph" w:styleId="5">
    <w:name w:val="Date"/>
    <w:basedOn w:val="1"/>
    <w:next w:val="1"/>
    <w:qFormat/>
    <w:uiPriority w:val="0"/>
    <w:rPr>
      <w:sz w:val="28"/>
    </w:rPr>
  </w:style>
  <w:style w:type="paragraph" w:styleId="6">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91"/>
    <w:basedOn w:val="9"/>
    <w:qFormat/>
    <w:uiPriority w:val="0"/>
    <w:rPr>
      <w:rFonts w:ascii="楷体" w:hAnsi="楷体" w:eastAsia="楷体" w:cs="楷体"/>
      <w:color w:val="000000"/>
      <w:sz w:val="22"/>
      <w:szCs w:val="22"/>
      <w:u w:val="none"/>
      <w:vertAlign w:val="superscript"/>
    </w:rPr>
  </w:style>
  <w:style w:type="character" w:customStyle="1" w:styleId="12">
    <w:name w:val="font21"/>
    <w:basedOn w:val="9"/>
    <w:qFormat/>
    <w:uiPriority w:val="0"/>
    <w:rPr>
      <w:rFonts w:hint="eastAsia" w:ascii="仿宋" w:hAnsi="仿宋" w:eastAsia="仿宋" w:cs="仿宋"/>
      <w:b/>
      <w:bCs/>
      <w:color w:val="000000"/>
      <w:sz w:val="24"/>
      <w:szCs w:val="24"/>
      <w:u w:val="none"/>
    </w:rPr>
  </w:style>
  <w:style w:type="paragraph" w:customStyle="1" w:styleId="13">
    <w:name w:val="BodyText"/>
    <w:basedOn w:val="1"/>
    <w:next w:val="14"/>
    <w:qFormat/>
    <w:uiPriority w:val="0"/>
    <w:pPr>
      <w:jc w:val="both"/>
      <w:textAlignment w:val="baseline"/>
    </w:pPr>
    <w:rPr>
      <w:rFonts w:ascii="仿宋_GB2312" w:eastAsia="仿宋_GB2312"/>
      <w:kern w:val="2"/>
      <w:sz w:val="32"/>
      <w:lang w:val="en-US" w:eastAsia="zh-CN" w:bidi="ar-SA"/>
    </w:rPr>
  </w:style>
  <w:style w:type="paragraph" w:customStyle="1" w:styleId="14">
    <w:name w:val="BodyTextIndent"/>
    <w:basedOn w:val="1"/>
    <w:qFormat/>
    <w:uiPriority w:val="0"/>
    <w:pPr>
      <w:spacing w:line="700" w:lineRule="exact"/>
      <w:ind w:left="960"/>
      <w:jc w:val="both"/>
      <w:textAlignment w:val="baseline"/>
    </w:pPr>
    <w:rPr>
      <w:kern w:val="2"/>
      <w:sz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0</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王静-采购办</cp:lastModifiedBy>
  <dcterms:modified xsi:type="dcterms:W3CDTF">2023-12-13T07:07:49Z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E3F663ED79814DF886D310C6AEDD6678</vt:lpwstr>
  </property>
</Properties>
</file>