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项目名称：食堂燃气灶熄火保护装置及炉头</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w:t>
      </w:r>
      <w:r>
        <w:rPr>
          <w:rFonts w:hint="eastAsia" w:ascii="仿宋_GB2312" w:eastAsia="仿宋_GB2312" w:cs="宋体"/>
          <w:color w:val="auto"/>
          <w:sz w:val="32"/>
          <w:szCs w:val="32"/>
          <w:lang w:val="en-US" w:eastAsia="zh-CN"/>
        </w:rPr>
        <w:t>现场踏勘表（联系人朱老师，见招标公告）</w:t>
      </w:r>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2"/>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2"/>
        <w:rPr>
          <w:rFonts w:hint="eastAsia"/>
          <w:lang w:val="en-US" w:eastAsia="zh-CN"/>
        </w:rPr>
      </w:pPr>
    </w:p>
    <w:tbl>
      <w:tblPr>
        <w:tblStyle w:val="8"/>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noWrap w:val="0"/>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noWrap w:val="0"/>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eastAsia="仿宋" w:cs="Times New Roman"/>
                <w:bCs/>
                <w:sz w:val="24"/>
                <w:szCs w:val="24"/>
                <w:lang w:val="en-US" w:eastAsia="zh-CN"/>
              </w:rPr>
              <w:t>燃气灶熄火保护装置</w:t>
            </w:r>
          </w:p>
        </w:tc>
        <w:tc>
          <w:tcPr>
            <w:tcW w:w="3953" w:type="dxa"/>
            <w:noWrap w:val="0"/>
            <w:vAlign w:val="center"/>
          </w:tcPr>
          <w:p>
            <w:pPr>
              <w:widowControl/>
              <w:spacing w:line="360" w:lineRule="auto"/>
              <w:jc w:val="center"/>
              <w:rPr>
                <w:rFonts w:hint="eastAsia"/>
                <w:lang w:val="en-US" w:eastAsia="zh-CN"/>
              </w:rPr>
            </w:pPr>
            <w:r>
              <w:rPr>
                <w:rFonts w:hint="eastAsia"/>
                <w:lang w:val="en-US" w:eastAsia="zh-CN"/>
              </w:rPr>
              <w:t>熄火保护装置分为熄火保护点火控制器和电磁阀（下图为原炉头，保护装置应与炉头匹配）</w:t>
            </w:r>
          </w:p>
          <w:p>
            <w:pPr>
              <w:pStyle w:val="2"/>
              <w:rPr>
                <w:rFonts w:hint="default"/>
                <w:lang w:val="en-US" w:eastAsia="zh-CN"/>
              </w:rPr>
            </w:pPr>
            <w:r>
              <w:rPr>
                <w:rFonts w:hint="default"/>
                <w:lang w:val="en-US" w:eastAsia="zh-CN"/>
              </w:rPr>
              <w:drawing>
                <wp:inline distT="0" distB="0" distL="114300" distR="114300">
                  <wp:extent cx="2340610" cy="1755775"/>
                  <wp:effectExtent l="0" t="0" r="2540" b="15875"/>
                  <wp:docPr id="2" name="图片 1" descr="abccff269fc84a53bc6e293d0712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bccff269fc84a53bc6e293d07120b5"/>
                          <pic:cNvPicPr>
                            <a:picLocks noChangeAspect="1"/>
                          </pic:cNvPicPr>
                        </pic:nvPicPr>
                        <pic:blipFill>
                          <a:blip r:embed="rId4"/>
                          <a:stretch>
                            <a:fillRect/>
                          </a:stretch>
                        </pic:blipFill>
                        <pic:spPr>
                          <a:xfrm>
                            <a:off x="0" y="0"/>
                            <a:ext cx="2340610" cy="1755775"/>
                          </a:xfrm>
                          <a:prstGeom prst="rect">
                            <a:avLst/>
                          </a:prstGeom>
                          <a:noFill/>
                          <a:ln>
                            <a:noFill/>
                          </a:ln>
                        </pic:spPr>
                      </pic:pic>
                    </a:graphicData>
                  </a:graphic>
                </wp:inline>
              </w:drawing>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18套</w:t>
            </w:r>
          </w:p>
        </w:tc>
        <w:tc>
          <w:tcPr>
            <w:tcW w:w="900" w:type="dxa"/>
            <w:noWrap w:val="0"/>
            <w:vAlign w:val="center"/>
          </w:tcPr>
          <w:p>
            <w:pPr>
              <w:widowControl/>
              <w:spacing w:line="360" w:lineRule="auto"/>
              <w:jc w:val="center"/>
              <w:rPr>
                <w:rFonts w:hint="eastAsia" w:eastAsia="仿宋" w:cs="Times New Roman"/>
                <w:bCs/>
                <w:sz w:val="24"/>
                <w:szCs w:val="24"/>
                <w:lang w:val="en-US" w:eastAsia="zh-CN"/>
              </w:rPr>
            </w:pPr>
            <w:r>
              <w:rPr>
                <w:rFonts w:hint="eastAsia" w:eastAsia="仿宋" w:cs="Times New Roman"/>
                <w:bCs/>
                <w:sz w:val="24"/>
                <w:szCs w:val="24"/>
                <w:lang w:val="en-US" w:eastAsia="zh-CN"/>
              </w:rPr>
              <w:t>600元/套</w:t>
            </w:r>
          </w:p>
        </w:tc>
        <w:tc>
          <w:tcPr>
            <w:tcW w:w="115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10800元</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kern w:val="0"/>
                <w:sz w:val="24"/>
                <w:szCs w:val="24"/>
                <w:highlight w:val="none"/>
                <w:lang w:val="en-US" w:eastAsia="zh-CN"/>
              </w:rPr>
            </w:pPr>
            <w:r>
              <w:rPr>
                <w:rFonts w:hint="eastAsia" w:eastAsia="仿宋" w:cs="Times New Roman"/>
                <w:kern w:val="0"/>
                <w:sz w:val="24"/>
                <w:szCs w:val="24"/>
                <w:highlight w:val="none"/>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燃气灶炉头</w:t>
            </w:r>
          </w:p>
        </w:tc>
        <w:tc>
          <w:tcPr>
            <w:tcW w:w="3953" w:type="dxa"/>
            <w:noWrap w:val="0"/>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适用商用燃气灶</w:t>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5个</w:t>
            </w:r>
          </w:p>
        </w:tc>
        <w:tc>
          <w:tcPr>
            <w:tcW w:w="900"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400元/个</w:t>
            </w:r>
          </w:p>
        </w:tc>
        <w:tc>
          <w:tcPr>
            <w:tcW w:w="1155"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2000</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eastAsia="仿宋" w:cs="Times New Roman"/>
                <w:kern w:val="0"/>
                <w:sz w:val="24"/>
                <w:szCs w:val="24"/>
                <w:highlight w:val="none"/>
                <w:lang w:val="en-US" w:eastAsia="zh-CN"/>
              </w:rPr>
            </w:pPr>
            <w:r>
              <w:rPr>
                <w:rFonts w:hint="eastAsia" w:eastAsia="仿宋" w:cs="Times New Roman"/>
                <w:kern w:val="0"/>
                <w:sz w:val="24"/>
                <w:szCs w:val="24"/>
                <w:highlight w:val="none"/>
                <w:lang w:val="en-US" w:eastAsia="zh-CN"/>
              </w:rPr>
              <w:t>3</w:t>
            </w:r>
          </w:p>
        </w:tc>
        <w:tc>
          <w:tcPr>
            <w:tcW w:w="7283" w:type="dxa"/>
            <w:gridSpan w:val="4"/>
            <w:tcBorders>
              <w:top w:val="single" w:color="auto" w:sz="4" w:space="0"/>
              <w:left w:val="single" w:color="auto" w:sz="4" w:space="0"/>
              <w:bottom w:val="single" w:color="auto" w:sz="4" w:space="0"/>
            </w:tcBorders>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合计</w:t>
            </w:r>
          </w:p>
        </w:tc>
        <w:tc>
          <w:tcPr>
            <w:tcW w:w="1155" w:type="dxa"/>
            <w:noWrap w:val="0"/>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12800</w:t>
            </w:r>
          </w:p>
        </w:tc>
        <w:tc>
          <w:tcPr>
            <w:tcW w:w="157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jc w:val="center"/>
        </w:trPr>
        <w:tc>
          <w:tcPr>
            <w:tcW w:w="10718" w:type="dxa"/>
            <w:gridSpan w:val="7"/>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公司名称（盖章）：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r>
        <w:rPr>
          <w:rFonts w:hint="eastAsia" w:ascii="方正仿宋_GBK" w:hAnsi="方正仿宋_GBK" w:eastAsia="方正仿宋_GBK" w:cs="方正仿宋_GBK"/>
          <w:b/>
          <w:bCs/>
          <w:color w:val="auto"/>
          <w:sz w:val="28"/>
          <w:szCs w:val="28"/>
          <w:highlight w:val="none"/>
          <w:u w:val="single"/>
          <w:lang w:val="en-US" w:eastAsia="zh-CN"/>
        </w:rPr>
        <w:t>3.熄火保护电火控制器和电磁阀须提供第三方质量计量监督检测中心和国家燃气用具产品质量检验检检测中心出具的检验合格报告。</w:t>
      </w:r>
      <w:r>
        <w:rPr>
          <w:rFonts w:hint="eastAsia" w:ascii="方正仿宋_GBK" w:hAnsi="方正仿宋_GBK" w:eastAsia="方正仿宋_GBK" w:cs="方正仿宋_GBK"/>
          <w:color w:val="auto"/>
          <w:sz w:val="28"/>
          <w:szCs w:val="28"/>
          <w:highlight w:val="none"/>
          <w:lang w:val="en-US" w:eastAsia="zh-CN"/>
        </w:rPr>
        <w:t>4.中标通知发出后，1周内完成安装及测试。验收合格后支付全款，付款时供应商提供发票和验收记录，质量保证期2年。5.燃气灶炉头直径为5寸，材质为生铁。</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56815770"/>
      <w:bookmarkStart w:id="1" w:name="_Toc175017342"/>
      <w:bookmarkStart w:id="2" w:name="_Toc156730450"/>
      <w:bookmarkStart w:id="3" w:name="_Toc156196559"/>
      <w:bookmarkStart w:id="4" w:name="_Toc173677397"/>
      <w:bookmarkStart w:id="5" w:name="_Toc156196470"/>
      <w:bookmarkStart w:id="6" w:name="_Toc166549448"/>
      <w:bookmarkStart w:id="7" w:name="_Toc128229745"/>
      <w:bookmarkStart w:id="8" w:name="_Toc128229302"/>
      <w:bookmarkStart w:id="9" w:name="_Toc128229916"/>
      <w:bookmarkStart w:id="10" w:name="_Toc16613991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66139913"/>
      <w:bookmarkStart w:id="12" w:name="_Toc156196560"/>
      <w:bookmarkStart w:id="13" w:name="_Toc156196471"/>
      <w:bookmarkStart w:id="14" w:name="_Toc175017343"/>
      <w:bookmarkStart w:id="15" w:name="_Toc156815771"/>
      <w:bookmarkStart w:id="16" w:name="_Toc128229303"/>
      <w:bookmarkStart w:id="17" w:name="_Toc128229746"/>
      <w:bookmarkStart w:id="18" w:name="_Toc128229917"/>
      <w:bookmarkStart w:id="19" w:name="_Toc173677398"/>
      <w:bookmarkStart w:id="20" w:name="_Toc166549449"/>
      <w:bookmarkStart w:id="21" w:name="_Toc156730451"/>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128229304"/>
      <w:bookmarkStart w:id="24" w:name="_Toc128229747"/>
      <w:bookmarkStart w:id="25" w:name="_Toc128014297"/>
      <w:bookmarkStart w:id="26" w:name="_Toc237057793"/>
      <w:bookmarkStart w:id="27" w:name="_Toc156196472"/>
      <w:bookmarkStart w:id="28" w:name="_Toc173677399"/>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jc w:val="left"/>
        <w:rPr>
          <w:rFonts w:hint="default" w:ascii="仿宋" w:hAnsi="仿宋" w:eastAsia="仿宋"/>
          <w:b/>
          <w:snapToGrid w:val="0"/>
          <w:color w:val="auto"/>
          <w:kern w:val="0"/>
          <w:sz w:val="28"/>
          <w:szCs w:val="28"/>
          <w:lang w:val="en-US" w:eastAsia="zh-CN"/>
        </w:rPr>
      </w:pPr>
      <w:r>
        <w:rPr>
          <w:rFonts w:hint="eastAsia" w:ascii="仿宋" w:hAnsi="仿宋" w:eastAsia="仿宋"/>
          <w:b/>
          <w:snapToGrid w:val="0"/>
          <w:color w:val="auto"/>
          <w:kern w:val="0"/>
          <w:sz w:val="28"/>
          <w:szCs w:val="28"/>
          <w:lang w:val="en-US" w:eastAsia="zh-CN"/>
        </w:rPr>
        <w:t>5.</w:t>
      </w:r>
      <w:r>
        <w:rPr>
          <w:rFonts w:hint="eastAsia" w:ascii="仿宋_GB2312" w:hAnsi="宋体" w:eastAsia="仿宋_GB2312"/>
          <w:b/>
          <w:snapToGrid w:val="0"/>
          <w:color w:val="auto"/>
          <w:kern w:val="0"/>
          <w:sz w:val="28"/>
          <w:szCs w:val="28"/>
          <w:lang w:val="en-US" w:eastAsia="zh-CN"/>
        </w:rPr>
        <w:t>现场踏勘情况记录表</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8"/>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供应商名称：</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both"/>
        <w:rPr>
          <w:rFonts w:hint="eastAsia" w:ascii="仿宋_GB2312" w:hAnsi="宋体" w:eastAsia="仿宋_GB2312"/>
          <w:b/>
          <w:snapToGrid w:val="0"/>
          <w:color w:val="auto"/>
          <w:kern w:val="0"/>
          <w:sz w:val="40"/>
          <w:szCs w:val="28"/>
        </w:rPr>
      </w:pPr>
    </w:p>
    <w:p>
      <w:pPr>
        <w:jc w:val="both"/>
        <w:rPr>
          <w:rFonts w:ascii="仿宋" w:hAnsi="仿宋" w:eastAsia="仿宋"/>
          <w:b/>
          <w:snapToGrid w:val="0"/>
          <w:color w:val="auto"/>
          <w:kern w:val="0"/>
          <w:sz w:val="28"/>
          <w:szCs w:val="28"/>
        </w:rPr>
      </w:pPr>
      <w:r>
        <w:rPr>
          <w:rFonts w:hint="eastAsia" w:ascii="仿宋_GB2312" w:hAnsi="宋体" w:eastAsia="仿宋_GB2312"/>
          <w:b/>
          <w:snapToGrid w:val="0"/>
          <w:color w:val="auto"/>
          <w:kern w:val="0"/>
          <w:sz w:val="40"/>
          <w:szCs w:val="28"/>
        </w:rPr>
        <w:br w:type="page"/>
      </w: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8.</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B686FFB"/>
    <w:rsid w:val="2FC44243"/>
    <w:rsid w:val="33FB61AD"/>
    <w:rsid w:val="4C31315D"/>
    <w:rsid w:val="61130716"/>
    <w:rsid w:val="61143219"/>
    <w:rsid w:val="6DD05A39"/>
    <w:rsid w:val="6EC6360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91"/>
    <w:basedOn w:val="9"/>
    <w:qFormat/>
    <w:uiPriority w:val="0"/>
    <w:rPr>
      <w:rFonts w:ascii="楷体" w:hAnsi="楷体" w:eastAsia="楷体" w:cs="楷体"/>
      <w:color w:val="000000"/>
      <w:sz w:val="22"/>
      <w:szCs w:val="22"/>
      <w:u w:val="none"/>
      <w:vertAlign w:val="superscript"/>
    </w:rPr>
  </w:style>
  <w:style w:type="character" w:customStyle="1" w:styleId="12">
    <w:name w:val="font21"/>
    <w:basedOn w:val="9"/>
    <w:qFormat/>
    <w:uiPriority w:val="0"/>
    <w:rPr>
      <w:rFonts w:hint="eastAsia" w:ascii="仿宋" w:hAnsi="仿宋" w:eastAsia="仿宋" w:cs="仿宋"/>
      <w:b/>
      <w:bCs/>
      <w:color w:val="000000"/>
      <w:sz w:val="24"/>
      <w:szCs w:val="24"/>
      <w:u w:val="none"/>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1940</Words>
  <Characters>1978</Characters>
  <Lines>0</Lines>
  <Paragraphs>0</Paragraphs>
  <TotalTime>2</TotalTime>
  <ScaleCrop>false</ScaleCrop>
  <LinksUpToDate>false</LinksUpToDate>
  <CharactersWithSpaces>2474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2023-12-12T06:42:11Z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2E36597A3F9B445B9C57B88966978F35</vt:lpwstr>
  </property>
</Properties>
</file>