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1A1DC98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项目名称：高通量靶向血浆脂质代谢组学检测（第二次）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编号：BSRMYY-YNCG-2025-09020</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9787943">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4918220D">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54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7"/>
        <w:gridCol w:w="2267"/>
        <w:gridCol w:w="1434"/>
        <w:gridCol w:w="2083"/>
        <w:gridCol w:w="2049"/>
        <w:gridCol w:w="2120"/>
      </w:tblGrid>
      <w:tr w14:paraId="590577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42" w:type="pct"/>
            <w:vAlign w:val="center"/>
          </w:tcPr>
          <w:p w14:paraId="100FCC84">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38" w:type="pct"/>
            <w:vAlign w:val="center"/>
          </w:tcPr>
          <w:p w14:paraId="4C8517E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656" w:type="pct"/>
            <w:vAlign w:val="center"/>
          </w:tcPr>
          <w:p w14:paraId="3C2F73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数量（例）</w:t>
            </w:r>
          </w:p>
        </w:tc>
        <w:tc>
          <w:tcPr>
            <w:tcW w:w="953" w:type="pct"/>
            <w:vAlign w:val="center"/>
          </w:tcPr>
          <w:p w14:paraId="53E0CCC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938" w:type="pct"/>
            <w:vAlign w:val="center"/>
          </w:tcPr>
          <w:p w14:paraId="7808EE5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合计总价（元）</w:t>
            </w:r>
          </w:p>
        </w:tc>
        <w:tc>
          <w:tcPr>
            <w:tcW w:w="970" w:type="pct"/>
            <w:vAlign w:val="center"/>
          </w:tcPr>
          <w:p w14:paraId="4EF685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val="0"/>
                <w:bCs w:val="0"/>
                <w:color w:val="000000" w:themeColor="text1"/>
                <w:kern w:val="0"/>
                <w:sz w:val="28"/>
                <w:szCs w:val="28"/>
                <w:highlight w:val="none"/>
                <w:lang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highlight w:val="none"/>
                <w:lang w:eastAsia="zh-CN"/>
                <w14:textFill>
                  <w14:solidFill>
                    <w14:schemeClr w14:val="tx1"/>
                  </w14:solidFill>
                </w14:textFill>
              </w:rPr>
              <w:t>服务期限（年）</w:t>
            </w:r>
          </w:p>
        </w:tc>
      </w:tr>
      <w:tr w14:paraId="54F326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53" w:hRule="atLeast"/>
          <w:jc w:val="center"/>
        </w:trPr>
        <w:tc>
          <w:tcPr>
            <w:tcW w:w="442" w:type="pct"/>
            <w:vAlign w:val="center"/>
          </w:tcPr>
          <w:p w14:paraId="79DD3241">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1</w:t>
            </w:r>
          </w:p>
        </w:tc>
        <w:tc>
          <w:tcPr>
            <w:tcW w:w="1038" w:type="pct"/>
            <w:vAlign w:val="center"/>
          </w:tcPr>
          <w:p w14:paraId="0586508B">
            <w:pPr>
              <w:jc w:val="left"/>
              <w:rPr>
                <w:rFonts w:hint="eastAsia" w:ascii="方正仿宋_GBK" w:hAnsi="方正仿宋_GBK" w:eastAsia="微软雅黑" w:cs="方正仿宋_GBK"/>
                <w:sz w:val="24"/>
                <w:szCs w:val="24"/>
                <w:highlight w:val="none"/>
                <w:lang w:val="en-US" w:eastAsia="zh-CN"/>
              </w:rPr>
            </w:pPr>
            <w:r>
              <w:rPr>
                <w:rFonts w:hint="eastAsia" w:ascii="方正仿宋_GBK" w:hAnsi="方正仿宋_GBK" w:eastAsia="方正仿宋_GBK" w:cs="方正仿宋_GBK"/>
                <w:b/>
                <w:bCs/>
                <w:kern w:val="2"/>
                <w:sz w:val="28"/>
                <w:szCs w:val="28"/>
                <w:highlight w:val="none"/>
                <w:lang w:val="en-US" w:eastAsia="zh-CN" w:bidi="ar-SA"/>
              </w:rPr>
              <w:t>高通量靶向血浆脂质代谢组学检测</w:t>
            </w:r>
          </w:p>
        </w:tc>
        <w:tc>
          <w:tcPr>
            <w:tcW w:w="656" w:type="pct"/>
            <w:vAlign w:val="center"/>
          </w:tcPr>
          <w:p w14:paraId="2F113F89">
            <w:pPr>
              <w:jc w:val="center"/>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100</w:t>
            </w:r>
          </w:p>
        </w:tc>
        <w:tc>
          <w:tcPr>
            <w:tcW w:w="953" w:type="pct"/>
            <w:vAlign w:val="center"/>
          </w:tcPr>
          <w:p w14:paraId="65042AF6">
            <w:pPr>
              <w:jc w:val="center"/>
              <w:rPr>
                <w:rFonts w:hint="default"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500</w:t>
            </w:r>
          </w:p>
        </w:tc>
        <w:tc>
          <w:tcPr>
            <w:tcW w:w="938" w:type="pct"/>
            <w:vAlign w:val="center"/>
          </w:tcPr>
          <w:p w14:paraId="3BEB525A">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b/>
                <w:bCs/>
                <w:kern w:val="2"/>
                <w:sz w:val="28"/>
                <w:szCs w:val="28"/>
                <w:highlight w:val="none"/>
                <w:lang w:val="en-US" w:eastAsia="zh-CN" w:bidi="ar-SA"/>
              </w:rPr>
              <w:t>50000</w:t>
            </w:r>
          </w:p>
        </w:tc>
        <w:tc>
          <w:tcPr>
            <w:tcW w:w="970" w:type="pct"/>
            <w:vAlign w:val="center"/>
          </w:tcPr>
          <w:p w14:paraId="3F235CE6">
            <w:pPr>
              <w:jc w:val="center"/>
              <w:rPr>
                <w:rFonts w:hint="default" w:ascii="方正仿宋_GBK" w:hAnsi="方正仿宋_GBK" w:eastAsia="方正仿宋_GBK" w:cs="方正仿宋_GBK"/>
                <w:b w:val="0"/>
                <w:bCs w:val="0"/>
                <w:color w:val="000000" w:themeColor="text1"/>
                <w:kern w:val="2"/>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highlight w:val="none"/>
                <w:lang w:val="en-US" w:eastAsia="zh-CN" w:bidi="ar-SA"/>
                <w14:textFill>
                  <w14:solidFill>
                    <w14:schemeClr w14:val="tx1"/>
                  </w14:solidFill>
                </w14:textFill>
              </w:rPr>
              <w:t>1</w:t>
            </w:r>
          </w:p>
        </w:tc>
      </w:tr>
    </w:tbl>
    <w:p w14:paraId="550A0A2D">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547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0"/>
        <w:gridCol w:w="2290"/>
        <w:gridCol w:w="7708"/>
      </w:tblGrid>
      <w:tr w14:paraId="0704C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66" w:type="pct"/>
            <w:vAlign w:val="center"/>
          </w:tcPr>
          <w:p w14:paraId="2A12B4EE">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61" w:type="pct"/>
            <w:vAlign w:val="center"/>
          </w:tcPr>
          <w:p w14:paraId="35A4EED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572" w:type="pct"/>
            <w:vAlign w:val="center"/>
          </w:tcPr>
          <w:p w14:paraId="4472D0B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r>
      <w:tr w14:paraId="0D602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3" w:hRule="atLeast"/>
          <w:jc w:val="center"/>
        </w:trPr>
        <w:tc>
          <w:tcPr>
            <w:tcW w:w="366" w:type="pct"/>
            <w:shd w:val="clear" w:color="auto" w:fill="auto"/>
            <w:vAlign w:val="center"/>
          </w:tcPr>
          <w:p w14:paraId="117D9A07">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sz w:val="28"/>
                <w:szCs w:val="28"/>
                <w:highlight w:val="none"/>
                <w:lang w:val="en-US" w:eastAsia="zh-CN"/>
              </w:rPr>
              <w:t>1</w:t>
            </w:r>
          </w:p>
        </w:tc>
        <w:tc>
          <w:tcPr>
            <w:tcW w:w="1061" w:type="pct"/>
            <w:shd w:val="clear" w:color="auto" w:fill="auto"/>
            <w:vAlign w:val="center"/>
          </w:tcPr>
          <w:p w14:paraId="34447689">
            <w:pPr>
              <w:jc w:val="left"/>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高通量靶向血浆脂质代谢组学检测</w:t>
            </w:r>
          </w:p>
        </w:tc>
        <w:tc>
          <w:tcPr>
            <w:tcW w:w="3572" w:type="pct"/>
            <w:shd w:val="clear" w:color="auto" w:fill="auto"/>
            <w:vAlign w:val="center"/>
          </w:tcPr>
          <w:p w14:paraId="1C0467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1</w:t>
            </w:r>
            <w:r>
              <w:rPr>
                <w:rFonts w:hint="default" w:ascii="方正仿宋_GBK" w:hAnsi="方正仿宋_GBK" w:eastAsia="方正仿宋_GBK" w:cs="方正仿宋_GBK"/>
                <w:b/>
                <w:bCs/>
                <w:kern w:val="2"/>
                <w:sz w:val="28"/>
                <w:szCs w:val="28"/>
                <w:highlight w:val="none"/>
                <w:lang w:val="en-US" w:eastAsia="zh-CN" w:bidi="ar-SA"/>
              </w:rPr>
              <w:t>.仪器参数：1）双色谱条件：RP液相色谱A相为H2O:ACN:MeOH=1:1:1,v/v/v；B相为异丙醇溶液。通过Kinetex C18 (2.1 mm × 100 mm, 2.6 μm ) 液相色谱柱对目标化合物进行色谱分离。HILIC液相色谱A相为 H2O:ACN=1:1,v/v；B相为 DCM:ACN=1:13,v/v。通过Luna NH2 (Amino) 3μm（2x100 mm, 3 μm）液相色谱柱对目标化合物进行色谱分离。质谱条件：采用MRM 模式监测。</w:t>
            </w:r>
          </w:p>
          <w:p w14:paraId="5F6199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2</w:t>
            </w:r>
            <w:r>
              <w:rPr>
                <w:rFonts w:hint="default" w:ascii="方正仿宋_GBK" w:hAnsi="方正仿宋_GBK" w:eastAsia="方正仿宋_GBK" w:cs="方正仿宋_GBK"/>
                <w:b/>
                <w:bCs/>
                <w:kern w:val="2"/>
                <w:sz w:val="28"/>
                <w:szCs w:val="28"/>
                <w:highlight w:val="none"/>
                <w:lang w:val="en-US" w:eastAsia="zh-CN" w:bidi="ar-SA"/>
              </w:rPr>
              <w:t>.分析平台：质谱数据采集及目标化合物定量分析工作</w:t>
            </w:r>
            <w:r>
              <w:rPr>
                <w:rFonts w:hint="default" w:ascii="方正仿宋_GBK" w:hAnsi="方正仿宋_GBK" w:eastAsia="方正仿宋_GBK" w:cs="方正仿宋_GBK"/>
                <w:b/>
                <w:bCs/>
                <w:kern w:val="2"/>
                <w:sz w:val="28"/>
                <w:szCs w:val="28"/>
                <w:highlight w:val="none"/>
                <w:lang w:val="en-US" w:eastAsia="zh-CN" w:bidi="ar-SA"/>
              </w:rPr>
              <w:t>均通过自动化分析软件来完成</w:t>
            </w:r>
            <w:r>
              <w:rPr>
                <w:rFonts w:hint="default" w:ascii="方正仿宋_GBK" w:hAnsi="方正仿宋_GBK" w:eastAsia="方正仿宋_GBK" w:cs="方正仿宋_GBK"/>
                <w:b/>
                <w:bCs/>
                <w:kern w:val="2"/>
                <w:sz w:val="28"/>
                <w:szCs w:val="28"/>
                <w:highlight w:val="none"/>
                <w:lang w:val="en-US" w:eastAsia="zh-CN" w:bidi="ar-SA"/>
              </w:rPr>
              <w:t>。其中定性采用3000+自建数据库，78种同位素内标对每个脂质进行一对一校正，每类脂质均有对应同位素内标。</w:t>
            </w:r>
          </w:p>
          <w:p w14:paraId="52A953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3</w:t>
            </w:r>
            <w:r>
              <w:rPr>
                <w:rFonts w:hint="default" w:ascii="方正仿宋_GBK" w:hAnsi="方正仿宋_GBK" w:eastAsia="方正仿宋_GBK" w:cs="方正仿宋_GBK"/>
                <w:b/>
                <w:bCs/>
                <w:kern w:val="2"/>
                <w:sz w:val="28"/>
                <w:szCs w:val="28"/>
                <w:highlight w:val="none"/>
                <w:lang w:val="en-US" w:eastAsia="zh-CN" w:bidi="ar-SA"/>
              </w:rPr>
              <w:t>.分析内容：数据分析内容包括单变量统计分析、多元变量统计分析、差异代谢物筛选、差异代谢物相关性分析、KEGG 通路分析、ROC分析、脂质链及不饱和度分析、脂质组柱状图分析、脂质组气泡图分析等内容。</w:t>
            </w:r>
          </w:p>
        </w:tc>
      </w:tr>
    </w:tbl>
    <w:p w14:paraId="58CC3E6E">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6C003BDC">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59EBBD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16DC44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w:t>
      </w:r>
      <w:bookmarkStart w:id="7" w:name="_GoBack"/>
      <w:bookmarkEnd w:id="7"/>
      <w:r>
        <w:rPr>
          <w:rFonts w:hint="eastAsia" w:ascii="方正仿宋_GBK" w:hAnsi="方正仿宋_GBK" w:eastAsia="方正仿宋_GBK" w:cs="方正仿宋_GBK"/>
          <w:color w:val="auto"/>
          <w:sz w:val="32"/>
          <w:szCs w:val="32"/>
          <w:highlight w:val="none"/>
          <w:lang w:eastAsia="zh-CN"/>
        </w:rPr>
        <w:t>资质要求的经营范围和有效期）；</w:t>
      </w:r>
    </w:p>
    <w:p w14:paraId="43DDD13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0CF485E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0896000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35DA071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4A06466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43F13B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63D8596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1.供应商具备ISO9001质量管理体系认证，CMA检验检测机构资质证定。</w:t>
      </w:r>
    </w:p>
    <w:p w14:paraId="6DA2A95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2.供应商拥有自主的质谱平台，超高效液相双色谱柱分离检测技术，具备自主代谢物提取，质谱测序等实验条件；拥有独立的研发与分析团队，具备提供详细测序方案以及提供个性化分析的能力。</w:t>
      </w:r>
    </w:p>
    <w:p w14:paraId="09EF4F8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3.供应商应具备符合</w:t>
      </w:r>
      <w:r>
        <w:rPr>
          <w:rFonts w:hint="eastAsia" w:ascii="方正仿宋_GBK" w:hAnsi="方正仿宋_GBK" w:eastAsia="方正仿宋_GBK" w:cs="方正仿宋_GBK"/>
          <w:b w:val="0"/>
          <w:bCs w:val="0"/>
          <w:color w:val="auto"/>
          <w:kern w:val="0"/>
          <w:sz w:val="32"/>
          <w:szCs w:val="32"/>
          <w:highlight w:val="none"/>
          <w:lang w:val="en-US" w:eastAsia="zh-CN"/>
        </w:rPr>
        <w:t>《中华人民共和国生物安全法》要求的相关资质。</w:t>
      </w:r>
    </w:p>
    <w:p w14:paraId="5CB19C8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b w:val="0"/>
          <w:bCs w:val="0"/>
          <w:color w:val="auto"/>
          <w:kern w:val="0"/>
          <w:sz w:val="32"/>
          <w:szCs w:val="32"/>
          <w:highlight w:val="none"/>
          <w:lang w:val="en-US" w:eastAsia="zh-CN"/>
        </w:rPr>
      </w:pPr>
      <w:r>
        <w:rPr>
          <w:rFonts w:hint="default" w:ascii="方正仿宋_GBK" w:hAnsi="方正仿宋_GBK" w:eastAsia="方正仿宋_GBK" w:cs="方正仿宋_GBK"/>
          <w:b w:val="0"/>
          <w:bCs w:val="0"/>
          <w:color w:val="auto"/>
          <w:kern w:val="0"/>
          <w:sz w:val="32"/>
          <w:szCs w:val="32"/>
          <w:highlight w:val="none"/>
          <w:lang w:val="en-US" w:eastAsia="zh-CN"/>
        </w:rPr>
        <w:t>4.其他法律法规有关规范。</w:t>
      </w:r>
    </w:p>
    <w:p w14:paraId="6C6BF728">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2AE848A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本项目最高限价50000元。报价要求：本次报价采用总价进行报价，包括但不限于项目检测服务费、</w:t>
      </w:r>
      <w:r>
        <w:rPr>
          <w:rFonts w:hint="eastAsia" w:ascii="方正仿宋_GBK" w:hAnsi="方正仿宋_GBK" w:eastAsia="方正仿宋_GBK" w:cs="方正仿宋_GBK"/>
          <w:b w:val="0"/>
          <w:bCs w:val="0"/>
          <w:color w:val="auto"/>
          <w:kern w:val="0"/>
          <w:sz w:val="32"/>
          <w:szCs w:val="32"/>
          <w:highlight w:val="none"/>
          <w:lang w:val="en-US" w:eastAsia="zh-CN"/>
        </w:rPr>
        <w:t>样本运输保存销毁</w:t>
      </w:r>
      <w:r>
        <w:rPr>
          <w:rFonts w:hint="eastAsia" w:ascii="方正仿宋_GBK" w:hAnsi="方正仿宋_GBK" w:eastAsia="方正仿宋_GBK" w:cs="方正仿宋_GBK"/>
          <w:b w:val="0"/>
          <w:bCs w:val="0"/>
          <w:color w:val="auto"/>
          <w:kern w:val="0"/>
          <w:sz w:val="32"/>
          <w:szCs w:val="32"/>
          <w:highlight w:val="none"/>
          <w:lang w:val="en-US" w:eastAsia="zh-CN"/>
        </w:rPr>
        <w:t>、配套设备辅材费、资料装订及邮寄费、税费、保险费、保密费、验收检测费等完成本项目所需的一切费用。因成交供应商自身原因造成漏报、少报皆由其自行承担责任，采购人不再补偿。供应商报送总价不得超过采购人要求，否则视为无效报价。服务期间发生的安全责任事故由供应商自行承担。</w:t>
      </w:r>
    </w:p>
    <w:p w14:paraId="16E1FAE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4A4CEAE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本项目合同期1年，成交供应商在接到成交通知后20日内与采购人签订采购合同和廉政购销协议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308FBFA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本项目要求供应商</w:t>
      </w:r>
      <w:r>
        <w:rPr>
          <w:rFonts w:hint="eastAsia" w:ascii="方正仿宋_GBK" w:hAnsi="方正仿宋_GBK" w:eastAsia="方正仿宋_GBK" w:cs="方正仿宋_GBK"/>
          <w:b w:val="0"/>
          <w:bCs w:val="0"/>
          <w:color w:val="auto"/>
          <w:sz w:val="32"/>
          <w:szCs w:val="32"/>
          <w:highlight w:val="none"/>
        </w:rPr>
        <w:t>自</w:t>
      </w:r>
      <w:r>
        <w:rPr>
          <w:rFonts w:hint="eastAsia" w:ascii="方正仿宋_GBK" w:hAnsi="方正仿宋_GBK" w:eastAsia="方正仿宋_GBK" w:cs="方正仿宋_GBK"/>
          <w:b w:val="0"/>
          <w:bCs w:val="0"/>
          <w:color w:val="auto"/>
          <w:kern w:val="0"/>
          <w:sz w:val="32"/>
          <w:szCs w:val="32"/>
          <w:highlight w:val="none"/>
          <w:lang w:val="en-US" w:eastAsia="zh-CN"/>
        </w:rPr>
        <w:t>中选后，接到采购人取样通知后3个工作日内取走样本，样本送达供应商核对无误且采购方确认启动项目次日开始计数周期，最迟第15个工作日以电子邮件方式交付原始数据及初始统计分析报告（供应商运输、储存、销毁样本应符合《中华人民共和国生物安全法》相关要求）。后续根据采购人要求提供个性化数据分析，最长1年时间完成项目所有服务内容并交付分析数据。</w:t>
      </w:r>
    </w:p>
    <w:p w14:paraId="2AE5A1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2239A2A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r>
        <w:rPr>
          <w:rFonts w:hint="eastAsia" w:ascii="方正仿宋_GBK" w:hAnsi="方正仿宋_GBK" w:eastAsia="方正仿宋_GBK" w:cs="方正仿宋_GBK"/>
          <w:sz w:val="32"/>
          <w:szCs w:val="32"/>
          <w:highlight w:val="none"/>
        </w:rPr>
        <w:t>合作期间项目数量有</w:t>
      </w:r>
      <w:r>
        <w:rPr>
          <w:rFonts w:hint="eastAsia" w:ascii="方正仿宋_GBK" w:hAnsi="方正仿宋_GBK" w:eastAsia="方正仿宋_GBK" w:cs="方正仿宋_GBK"/>
          <w:sz w:val="32"/>
          <w:szCs w:val="32"/>
          <w:highlight w:val="none"/>
          <w:lang w:eastAsia="zh-CN"/>
        </w:rPr>
        <w:t>减少</w:t>
      </w:r>
      <w:r>
        <w:rPr>
          <w:rFonts w:hint="eastAsia" w:ascii="方正仿宋_GBK" w:hAnsi="方正仿宋_GBK" w:eastAsia="方正仿宋_GBK" w:cs="方正仿宋_GBK"/>
          <w:sz w:val="32"/>
          <w:szCs w:val="32"/>
          <w:highlight w:val="none"/>
        </w:rPr>
        <w:t>，按供应商分项报价据实结算。</w:t>
      </w:r>
    </w:p>
    <w:p w14:paraId="15EB734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（五）验收方式</w:t>
      </w:r>
    </w:p>
    <w:p w14:paraId="0711BD8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按照采购招投标文件及服务效果考核要求逐项验收，</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验收产生争议或验收后第三方对数据产生合理质疑</w:t>
      </w:r>
      <w:r>
        <w:rPr>
          <w:rFonts w:hint="eastAsia" w:ascii="方正仿宋_GBK" w:hAnsi="方正仿宋_GBK" w:eastAsia="方正仿宋_GBK" w:cs="方正仿宋_GBK"/>
          <w:b w:val="0"/>
          <w:bCs w:val="0"/>
          <w:color w:val="auto"/>
          <w:kern w:val="0"/>
          <w:sz w:val="32"/>
          <w:szCs w:val="32"/>
          <w:highlight w:val="none"/>
          <w:lang w:val="en-US" w:eastAsia="zh-CN"/>
        </w:rPr>
        <w:t>由采购人邀请第三方机构检测，费用由供应商承担。</w:t>
      </w:r>
    </w:p>
    <w:p w14:paraId="4B24AFDC">
      <w:pPr>
        <w:keepNext w:val="0"/>
        <w:keepLines w:val="0"/>
        <w:pageBreakBefore w:val="0"/>
        <w:widowControl w:val="0"/>
        <w:numPr>
          <w:ilvl w:val="0"/>
          <w:numId w:val="5"/>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服务效果考核标准</w:t>
      </w:r>
    </w:p>
    <w:p w14:paraId="2FB3631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质控标准：</w:t>
      </w:r>
    </w:p>
    <w:p w14:paraId="79773E4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（1）QC保留时间（RT)偏差±12S以内。</w:t>
      </w:r>
    </w:p>
    <w:p w14:paraId="62EC89B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（2）QC样本相关性大于0.8。</w:t>
      </w:r>
    </w:p>
    <w:p w14:paraId="00B02FA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 xml:space="preserve">（3）QC样品中内标峰面积RSD ≤20%。   </w:t>
      </w:r>
    </w:p>
    <w:p w14:paraId="3104B130">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6A57361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产品或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4025A65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（八）配套服务</w:t>
      </w:r>
    </w:p>
    <w:p w14:paraId="7C840B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（1）电话咨询</w:t>
      </w:r>
    </w:p>
    <w:p w14:paraId="62FF38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3F5CE7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（2）保密要求</w:t>
      </w:r>
    </w:p>
    <w:p w14:paraId="20D387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未经采购人允许，不得将服务内容提供给第三方。</w:t>
      </w:r>
    </w:p>
    <w:p w14:paraId="4776B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（3）数据溯源</w:t>
      </w:r>
    </w:p>
    <w:p w14:paraId="20C02A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任何时候，采购人或第三方对数据真实性提出质疑时，供应商应提供客观检测措施对数据结果进行溯源。</w:t>
      </w:r>
    </w:p>
    <w:p w14:paraId="3019787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（九）违约责任</w:t>
      </w:r>
    </w:p>
    <w:p w14:paraId="75709EE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交付服务内容，每延迟1日，供应商应向采购人支付合同总金额千分之三的违约金，超过30日未能交付，采购人有权单方面解除合同，并要求供应商承担合同总金额30%的违约金；项目验收不合格或使用中发现服务质量缺陷，采购人有权要求供应商整改，整改期限为10日，整改期限届满仍未完成的供应商每日支付合同总金额千分之三的违约金，超过20日未能完成整改，</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采购人有权解除合同，并要求供应商承担合同总金额30%的违约金，已经付款的供应商应全款退还采购人已经支付的款项</w:t>
      </w:r>
      <w:r>
        <w:rPr>
          <w:rFonts w:hint="eastAsia" w:ascii="方正仿宋_GBK" w:hAnsi="方正仿宋_GBK" w:eastAsia="方正仿宋_GBK" w:cs="方正仿宋_GBK"/>
          <w:color w:val="auto"/>
          <w:sz w:val="32"/>
          <w:szCs w:val="32"/>
          <w:highlight w:val="none"/>
          <w:lang w:val="en-US" w:eastAsia="zh-CN"/>
        </w:rPr>
        <w:t>；未按配套服务要求提供服务的，供应商将承担200元/次的违约金。</w:t>
      </w:r>
    </w:p>
    <w:p w14:paraId="3810BCD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或</w:t>
      </w:r>
      <w:r>
        <w:rPr>
          <w:rFonts w:hint="eastAsia" w:ascii="方正仿宋_GBK" w:hAnsi="方正仿宋_GBK" w:eastAsia="方正仿宋_GBK" w:cs="方正仿宋_GBK"/>
          <w:b w:val="0"/>
          <w:bCs w:val="0"/>
          <w:color w:val="auto"/>
          <w:kern w:val="0"/>
          <w:sz w:val="32"/>
          <w:szCs w:val="32"/>
          <w:highlight w:val="none"/>
          <w:lang w:val="en-US" w:eastAsia="zh-CN"/>
        </w:rPr>
        <w:t>合同周期内供应商出现2次及以上违约行为的</w:t>
      </w:r>
      <w:r>
        <w:rPr>
          <w:rFonts w:hint="eastAsia" w:ascii="方正仿宋_GBK" w:hAnsi="方正仿宋_GBK" w:eastAsia="方正仿宋_GBK" w:cs="方正仿宋_GBK"/>
          <w:color w:val="auto"/>
          <w:kern w:val="0"/>
          <w:sz w:val="32"/>
          <w:szCs w:val="32"/>
          <w:highlight w:val="none"/>
          <w:lang w:val="en-US" w:eastAsia="zh-CN"/>
        </w:rPr>
        <w:t>;⑦</w:t>
      </w:r>
      <w:r>
        <w:rPr>
          <w:rFonts w:hint="eastAsia" w:ascii="方正仿宋_GBK" w:hAnsi="方正仿宋_GBK" w:eastAsia="方正仿宋_GBK" w:cs="方正仿宋_GBK"/>
          <w:color w:val="auto"/>
          <w:sz w:val="32"/>
          <w:szCs w:val="32"/>
          <w:highlight w:val="none"/>
          <w:lang w:val="en-US" w:eastAsia="zh-CN"/>
        </w:rPr>
        <w:t>供应商及其服务发生泄漏采购人数据及患者隐私的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w:t>
      </w:r>
      <w:r>
        <w:rPr>
          <w:rFonts w:hint="eastAsia" w:ascii="方正仿宋_GBK" w:hAnsi="方正仿宋_GBK" w:eastAsia="方正仿宋_GBK" w:cs="方正仿宋_GBK"/>
          <w:color w:val="auto"/>
          <w:kern w:val="0"/>
          <w:sz w:val="32"/>
          <w:szCs w:val="32"/>
          <w:highlight w:val="none"/>
          <w:lang w:val="en-US" w:eastAsia="zh-CN"/>
        </w:rPr>
        <w:t>⑧使用中发现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47DA5D9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因供应商及其提供的服务原因引发纠纷、造成</w:t>
      </w:r>
      <w:r>
        <w:rPr>
          <w:rFonts w:hint="eastAsia" w:ascii="方正仿宋_GBK" w:hAnsi="方正仿宋_GBK" w:eastAsia="方正仿宋_GBK" w:cs="方正仿宋_GBK"/>
          <w:color w:val="auto"/>
          <w:sz w:val="32"/>
          <w:szCs w:val="32"/>
          <w:highlight w:val="none"/>
          <w:lang w:val="en-US" w:eastAsia="zh-CN"/>
        </w:rPr>
        <w:t xml:space="preserve">采购人损失、受到处罚的（如供应商拒绝履约、在提供服务过程中损害采购人利益、供应商违纪违法行为、供应商检测内容虚假、数据分析错误、泄露检测数据或患者隐私等情况），供应商应赔偿对采购人造成的直接和间接损失全额损失及承担相应法律责任。合同履行期间发生争议，协商无果由重庆市璧山区人民法院裁决。 </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（十）合同终止情形</w:t>
      </w:r>
    </w:p>
    <w:p w14:paraId="2EDACF8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出现不良事件；合同周期内供应商出现2次及以上违约行为；供应商廉洁违纪行为；供应商主动放弃等。</w:t>
      </w:r>
    </w:p>
    <w:p w14:paraId="3B6FEF0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（十一）中选标准</w:t>
      </w:r>
    </w:p>
    <w:p w14:paraId="33FF5D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（十二）其他要求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或质保期响应不及时等影响采购人正常工作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12.项目服务方案（应具体到样本接收运输管理、检测进度计划、项目阶段性沟通、人员设备安排、保密措施等）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7C0031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1.供应商具备ISO9001质量管理体系认证，CMA检验检测机构资质证定。</w:t>
      </w:r>
    </w:p>
    <w:p w14:paraId="5838B7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2.供应商拥有自主的质谱平台，超高效液相双色谱柱分离检测技术，具备自主代谢物提取，质谱测序等实验条件；拥有独立的研发与分析团队，具备提供详细测序方案以及提供个性化分析的能力。</w:t>
      </w:r>
    </w:p>
    <w:p w14:paraId="51F8B85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3.供应商应具备符合</w:t>
      </w:r>
      <w:r>
        <w:rPr>
          <w:rFonts w:hint="eastAsia" w:ascii="方正仿宋_GBK" w:hAnsi="方正仿宋_GBK" w:eastAsia="方正仿宋_GBK" w:cs="方正仿宋_GBK"/>
          <w:b w:val="0"/>
          <w:bCs w:val="0"/>
          <w:color w:val="auto"/>
          <w:kern w:val="0"/>
          <w:sz w:val="32"/>
          <w:szCs w:val="32"/>
          <w:highlight w:val="none"/>
          <w:lang w:val="en-US" w:eastAsia="zh-CN"/>
        </w:rPr>
        <w:t>《中华人民共和国生物安全法》要求的相关资质。</w:t>
      </w:r>
    </w:p>
    <w:p w14:paraId="79FFE84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b w:val="0"/>
          <w:bCs w:val="0"/>
          <w:color w:val="auto"/>
          <w:kern w:val="0"/>
          <w:sz w:val="32"/>
          <w:szCs w:val="32"/>
          <w:highlight w:val="none"/>
          <w:lang w:val="en-US" w:eastAsia="zh-CN"/>
        </w:rPr>
      </w:pPr>
      <w:r>
        <w:rPr>
          <w:rFonts w:hint="default" w:ascii="方正仿宋_GBK" w:hAnsi="方正仿宋_GBK" w:eastAsia="方正仿宋_GBK" w:cs="方正仿宋_GBK"/>
          <w:b w:val="0"/>
          <w:bCs w:val="0"/>
          <w:color w:val="auto"/>
          <w:kern w:val="0"/>
          <w:sz w:val="32"/>
          <w:szCs w:val="32"/>
          <w:highlight w:val="none"/>
          <w:lang w:val="en-US" w:eastAsia="zh-CN"/>
        </w:rPr>
        <w:t>4.其他法律法规有关规范。</w:t>
      </w:r>
    </w:p>
    <w:p w14:paraId="260C2407">
      <w:pPr>
        <w:ind w:firstLine="843" w:firstLineChars="300"/>
        <w:rPr>
          <w:rFonts w:hint="eastAsia" w:ascii="仿宋" w:hAnsi="仿宋" w:eastAsia="仿宋" w:cs="仿宋"/>
          <w:b/>
          <w:bCs/>
          <w:color w:val="auto"/>
          <w:sz w:val="28"/>
          <w:szCs w:val="21"/>
          <w:highlight w:val="none"/>
          <w:lang w:val="en-US" w:eastAsia="zh-CN"/>
        </w:rPr>
      </w:pPr>
    </w:p>
    <w:p w14:paraId="4FC48D5C">
      <w:pPr>
        <w:ind w:firstLine="843" w:firstLineChars="300"/>
        <w:rPr>
          <w:rFonts w:hint="eastAsia" w:ascii="仿宋" w:hAnsi="仿宋" w:eastAsia="仿宋" w:cs="仿宋"/>
          <w:b/>
          <w:bCs/>
          <w:color w:val="auto"/>
          <w:sz w:val="28"/>
          <w:szCs w:val="21"/>
          <w:highlight w:val="none"/>
          <w:lang w:val="en-US" w:eastAsia="zh-CN"/>
        </w:rPr>
      </w:pPr>
    </w:p>
    <w:p w14:paraId="113BF43F">
      <w:pPr>
        <w:ind w:firstLine="843" w:firstLineChars="300"/>
        <w:rPr>
          <w:rFonts w:hint="eastAsia" w:ascii="仿宋" w:hAnsi="仿宋" w:eastAsia="仿宋" w:cs="仿宋"/>
          <w:b/>
          <w:bCs/>
          <w:color w:val="auto"/>
          <w:sz w:val="28"/>
          <w:szCs w:val="21"/>
          <w:highlight w:val="none"/>
          <w:lang w:val="en-US" w:eastAsia="zh-CN"/>
        </w:rPr>
      </w:pPr>
    </w:p>
    <w:p w14:paraId="2321D981">
      <w:pPr>
        <w:ind w:firstLine="843" w:firstLineChars="300"/>
        <w:rPr>
          <w:rFonts w:hint="eastAsia" w:ascii="仿宋" w:hAnsi="仿宋" w:eastAsia="仿宋" w:cs="仿宋"/>
          <w:b/>
          <w:bCs/>
          <w:color w:val="auto"/>
          <w:sz w:val="28"/>
          <w:szCs w:val="21"/>
          <w:highlight w:val="none"/>
          <w:lang w:val="en-US" w:eastAsia="zh-CN"/>
        </w:rPr>
      </w:pPr>
    </w:p>
    <w:p w14:paraId="243191DA">
      <w:pPr>
        <w:ind w:firstLine="843" w:firstLineChars="300"/>
        <w:rPr>
          <w:rFonts w:hint="eastAsia" w:ascii="仿宋" w:hAnsi="仿宋" w:eastAsia="仿宋" w:cs="仿宋"/>
          <w:b/>
          <w:bCs/>
          <w:color w:val="auto"/>
          <w:sz w:val="28"/>
          <w:szCs w:val="21"/>
          <w:highlight w:val="none"/>
          <w:lang w:val="en-US" w:eastAsia="zh-CN"/>
        </w:rPr>
      </w:pPr>
    </w:p>
    <w:p w14:paraId="4AF96057">
      <w:pPr>
        <w:ind w:firstLine="843" w:firstLineChars="300"/>
        <w:rPr>
          <w:rFonts w:hint="eastAsia" w:ascii="仿宋" w:hAnsi="仿宋" w:eastAsia="仿宋" w:cs="仿宋"/>
          <w:b/>
          <w:bCs/>
          <w:color w:val="auto"/>
          <w:sz w:val="28"/>
          <w:szCs w:val="21"/>
          <w:highlight w:val="none"/>
          <w:lang w:val="en-US" w:eastAsia="zh-CN"/>
        </w:rPr>
      </w:pP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237057793"/>
      <w:bookmarkStart w:id="1" w:name="_Toc173677399"/>
      <w:bookmarkStart w:id="2" w:name="_Toc156196472"/>
      <w:bookmarkStart w:id="3" w:name="_Toc128229747"/>
      <w:bookmarkStart w:id="4" w:name="_Toc128229304"/>
      <w:bookmarkStart w:id="5" w:name="_Toc175017344"/>
      <w:bookmarkStart w:id="6" w:name="_Toc128014297"/>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元整（附分项明细表）。</w:t>
      </w:r>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01E13594">
      <w:pPr>
        <w:numPr>
          <w:ilvl w:val="0"/>
          <w:numId w:val="6"/>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6"/>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本项目其他采购人的业绩资料（如合同或发票等）。</w:t>
      </w:r>
    </w:p>
    <w:p w14:paraId="4ACD48E7">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宋体"/>
          <w:sz w:val="30"/>
          <w:szCs w:val="30"/>
          <w:highlight w:val="none"/>
          <w:lang w:eastAsia="zh-CN"/>
        </w:rPr>
        <w:t>、保密要求、数据溯源</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4D4D3B3">
      <w:pPr>
        <w:pStyle w:val="5"/>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项目服务方案（应具体到</w:t>
      </w:r>
      <w:r>
        <w:rPr>
          <w:rFonts w:hint="eastAsia" w:ascii="仿宋_GB2312" w:eastAsia="仿宋_GB2312" w:cs="宋体"/>
          <w:kern w:val="2"/>
          <w:sz w:val="32"/>
          <w:szCs w:val="32"/>
          <w:highlight w:val="none"/>
          <w:lang w:val="en-US" w:eastAsia="zh-CN" w:bidi="ar-SA"/>
        </w:rPr>
        <w:t>样</w:t>
      </w:r>
      <w:r>
        <w:rPr>
          <w:rFonts w:hint="eastAsia" w:ascii="仿宋_GB2312" w:hAnsi="宋体" w:eastAsia="仿宋_GB2312" w:cs="宋体"/>
          <w:kern w:val="2"/>
          <w:sz w:val="32"/>
          <w:szCs w:val="32"/>
          <w:highlight w:val="none"/>
          <w:lang w:val="en-US" w:eastAsia="zh-CN" w:bidi="ar-SA"/>
        </w:rPr>
        <w:t>本接收运输管理、检测进度计划、项目阶段性沟通、人员设备安排、保密措施等）</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93E016B"/>
    <w:multiLevelType w:val="singleLevel"/>
    <w:tmpl w:val="593E016B"/>
    <w:lvl w:ilvl="0" w:tentative="0">
      <w:start w:val="1"/>
      <w:numFmt w:val="chineseCounting"/>
      <w:suff w:val="nothing"/>
      <w:lvlText w:val="%1、"/>
      <w:lvlJc w:val="left"/>
      <w:rPr>
        <w:rFonts w:hint="eastAsia"/>
      </w:rPr>
    </w:lvl>
  </w:abstractNum>
  <w:abstractNum w:abstractNumId="4">
    <w:nsid w:val="5A36E599"/>
    <w:multiLevelType w:val="singleLevel"/>
    <w:tmpl w:val="5A36E599"/>
    <w:lvl w:ilvl="0" w:tentative="0">
      <w:start w:val="6"/>
      <w:numFmt w:val="chineseCounting"/>
      <w:suff w:val="nothing"/>
      <w:lvlText w:val="（%1）"/>
      <w:lvlJc w:val="left"/>
      <w:rPr>
        <w:rFonts w:hint="eastAsia"/>
      </w:rPr>
    </w:lvl>
  </w:abstractNum>
  <w:abstractNum w:abstractNumId="5">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024C4"/>
    <w:rsid w:val="015B6D6E"/>
    <w:rsid w:val="02E501FA"/>
    <w:rsid w:val="03CE68FB"/>
    <w:rsid w:val="041961A8"/>
    <w:rsid w:val="04C70F47"/>
    <w:rsid w:val="056E5276"/>
    <w:rsid w:val="06FB539B"/>
    <w:rsid w:val="074B78AB"/>
    <w:rsid w:val="07F82B6D"/>
    <w:rsid w:val="09604328"/>
    <w:rsid w:val="0A86348F"/>
    <w:rsid w:val="0BCE4B39"/>
    <w:rsid w:val="0C872834"/>
    <w:rsid w:val="0C974041"/>
    <w:rsid w:val="0CB1115F"/>
    <w:rsid w:val="0CE64C8D"/>
    <w:rsid w:val="0D5C636E"/>
    <w:rsid w:val="0D913B3D"/>
    <w:rsid w:val="0E440BB0"/>
    <w:rsid w:val="0E6637FD"/>
    <w:rsid w:val="0E6753E5"/>
    <w:rsid w:val="0E9F1F75"/>
    <w:rsid w:val="0F3D73C4"/>
    <w:rsid w:val="0FAB7A71"/>
    <w:rsid w:val="0FD01451"/>
    <w:rsid w:val="10945E1E"/>
    <w:rsid w:val="109A11ED"/>
    <w:rsid w:val="11594F0F"/>
    <w:rsid w:val="122D0B62"/>
    <w:rsid w:val="133D5E0A"/>
    <w:rsid w:val="17772668"/>
    <w:rsid w:val="1922346A"/>
    <w:rsid w:val="19375EE1"/>
    <w:rsid w:val="19FC6B1C"/>
    <w:rsid w:val="1A1C7FE3"/>
    <w:rsid w:val="1AAE2C67"/>
    <w:rsid w:val="1AF86BE0"/>
    <w:rsid w:val="1B3306B6"/>
    <w:rsid w:val="1BDE0896"/>
    <w:rsid w:val="1CF00EFC"/>
    <w:rsid w:val="1E552F6B"/>
    <w:rsid w:val="1F2F00AB"/>
    <w:rsid w:val="20746E51"/>
    <w:rsid w:val="21426D4A"/>
    <w:rsid w:val="22240453"/>
    <w:rsid w:val="229A0B71"/>
    <w:rsid w:val="22F03C5B"/>
    <w:rsid w:val="236757CC"/>
    <w:rsid w:val="23FB11F4"/>
    <w:rsid w:val="24D32F62"/>
    <w:rsid w:val="26541E80"/>
    <w:rsid w:val="26EB3E67"/>
    <w:rsid w:val="28687E65"/>
    <w:rsid w:val="29AE2A56"/>
    <w:rsid w:val="29F1586C"/>
    <w:rsid w:val="29FA37EC"/>
    <w:rsid w:val="2A402D6D"/>
    <w:rsid w:val="2C3529EE"/>
    <w:rsid w:val="2C7E2617"/>
    <w:rsid w:val="2CC37769"/>
    <w:rsid w:val="2F2F3117"/>
    <w:rsid w:val="2FC44243"/>
    <w:rsid w:val="31092EA8"/>
    <w:rsid w:val="32214672"/>
    <w:rsid w:val="33FB61AD"/>
    <w:rsid w:val="342C6BC9"/>
    <w:rsid w:val="35761799"/>
    <w:rsid w:val="357C2FC3"/>
    <w:rsid w:val="36432BB5"/>
    <w:rsid w:val="376E6279"/>
    <w:rsid w:val="38A14340"/>
    <w:rsid w:val="396A2364"/>
    <w:rsid w:val="3A2C5456"/>
    <w:rsid w:val="3A8A6AFB"/>
    <w:rsid w:val="3B5B7766"/>
    <w:rsid w:val="3D8263F7"/>
    <w:rsid w:val="3E9F6BB4"/>
    <w:rsid w:val="40611EDD"/>
    <w:rsid w:val="41B900E2"/>
    <w:rsid w:val="439873F8"/>
    <w:rsid w:val="442069E9"/>
    <w:rsid w:val="44C5770F"/>
    <w:rsid w:val="44EF71C4"/>
    <w:rsid w:val="45170BAD"/>
    <w:rsid w:val="45EF05E5"/>
    <w:rsid w:val="471277E6"/>
    <w:rsid w:val="473F7C96"/>
    <w:rsid w:val="475D7492"/>
    <w:rsid w:val="482D6FF9"/>
    <w:rsid w:val="49470D20"/>
    <w:rsid w:val="496140CE"/>
    <w:rsid w:val="4AA416B0"/>
    <w:rsid w:val="4AE139DB"/>
    <w:rsid w:val="4B782C5C"/>
    <w:rsid w:val="4BDB0A24"/>
    <w:rsid w:val="4C31315D"/>
    <w:rsid w:val="4E3B1140"/>
    <w:rsid w:val="4F6D75ED"/>
    <w:rsid w:val="50F964C5"/>
    <w:rsid w:val="51352B6B"/>
    <w:rsid w:val="51736DAF"/>
    <w:rsid w:val="53A17F68"/>
    <w:rsid w:val="53DB6C22"/>
    <w:rsid w:val="55085A60"/>
    <w:rsid w:val="55956EC5"/>
    <w:rsid w:val="57744314"/>
    <w:rsid w:val="597436C4"/>
    <w:rsid w:val="59A815C0"/>
    <w:rsid w:val="5BB04553"/>
    <w:rsid w:val="5BD41136"/>
    <w:rsid w:val="5DBD061A"/>
    <w:rsid w:val="5E932E93"/>
    <w:rsid w:val="5FA4498B"/>
    <w:rsid w:val="61130716"/>
    <w:rsid w:val="61143219"/>
    <w:rsid w:val="6138591F"/>
    <w:rsid w:val="61707CCC"/>
    <w:rsid w:val="61A6052D"/>
    <w:rsid w:val="626B6216"/>
    <w:rsid w:val="637666C3"/>
    <w:rsid w:val="63814C5E"/>
    <w:rsid w:val="643E385E"/>
    <w:rsid w:val="649966D5"/>
    <w:rsid w:val="64B2548C"/>
    <w:rsid w:val="67CF5844"/>
    <w:rsid w:val="69D01878"/>
    <w:rsid w:val="6A1F4430"/>
    <w:rsid w:val="6B247663"/>
    <w:rsid w:val="6BAB20AE"/>
    <w:rsid w:val="6D1A412B"/>
    <w:rsid w:val="6D1F523E"/>
    <w:rsid w:val="6D204144"/>
    <w:rsid w:val="6D38732A"/>
    <w:rsid w:val="6DD05A39"/>
    <w:rsid w:val="6EC6360F"/>
    <w:rsid w:val="6F3E2352"/>
    <w:rsid w:val="6F9A2F0D"/>
    <w:rsid w:val="6FB940CF"/>
    <w:rsid w:val="70237F96"/>
    <w:rsid w:val="713118C3"/>
    <w:rsid w:val="71C02C3F"/>
    <w:rsid w:val="72BB5C94"/>
    <w:rsid w:val="732B3BA9"/>
    <w:rsid w:val="73C21B9F"/>
    <w:rsid w:val="744E4384"/>
    <w:rsid w:val="74D3615F"/>
    <w:rsid w:val="75E0445A"/>
    <w:rsid w:val="77991C4E"/>
    <w:rsid w:val="77FA34D6"/>
    <w:rsid w:val="78024143"/>
    <w:rsid w:val="798264FA"/>
    <w:rsid w:val="799B64FC"/>
    <w:rsid w:val="7AF0174A"/>
    <w:rsid w:val="7BDE27F0"/>
    <w:rsid w:val="7C6F2CF1"/>
    <w:rsid w:val="7C765833"/>
    <w:rsid w:val="7CA67789"/>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7008</Words>
  <Characters>7338</Characters>
  <Lines>0</Lines>
  <Paragraphs>0</Paragraphs>
  <TotalTime>1</TotalTime>
  <ScaleCrop>false</ScaleCrop>
  <LinksUpToDate>false</LinksUpToDate>
  <CharactersWithSpaces>8035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2025-10-11T06:58:16Z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CE9D5840DD0C42DBA7277E0172C8442B_13</vt:lpwstr>
  </property>
  <property fmtid="{D5CDD505-2E9C-101B-9397-08002B2CF9AE}" pid="4" name="KSOTemplateDocerSaveRecord">
    <vt:lpwstr>eyJoZGlkIjoiNzdkNTM4MTkwYTE0Yjk0Y2Y4MjVlZDcwOGViZTQwYjIiLCJ1c2VySWQiOiIxMTc2NDE1MTk0In0=</vt:lpwstr>
  </property>
</Properties>
</file>