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项目名称：一次性使用刨削刀头等（第二次）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不锈钢材料，3.0*147mm、4.0*192mm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不锈钢材料，3.0*147mm、5.5*192mm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刀头头端为钛、钨、钼等高强度耐损耗金属子针片；刀头50°、90°，配吸引管</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Times New Roman" w:hAnsi="Times New Roman" w:eastAsia="宋体" w:cs="Times New Roman"/>
                <w:kern w:val="2"/>
                <w:sz w:val="21"/>
                <w:lang w:val="en-US" w:eastAsia="zh-CN" w:bidi="ar-SA"/>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刀头头端为钛、钨、钼等高强度耐损耗金属子针片；刀头35°、0°</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237057789"/>
      <w:bookmarkStart w:id="3" w:name="_Toc156196446"/>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75017342"/>
      <w:bookmarkStart w:id="7" w:name="_Toc166139912"/>
      <w:bookmarkStart w:id="8" w:name="_Toc173677397"/>
      <w:bookmarkStart w:id="9" w:name="_Toc128229745"/>
      <w:bookmarkStart w:id="10" w:name="_Toc166549448"/>
      <w:bookmarkStart w:id="11" w:name="_Toc128229302"/>
      <w:bookmarkStart w:id="12" w:name="_Toc128229916"/>
      <w:bookmarkStart w:id="13" w:name="_Toc156196559"/>
      <w:bookmarkStart w:id="14" w:name="_Toc156196470"/>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303"/>
      <w:bookmarkStart w:id="18" w:name="_Toc166139913"/>
      <w:bookmarkStart w:id="19" w:name="_Toc156815771"/>
      <w:bookmarkStart w:id="20" w:name="_Toc128229917"/>
      <w:bookmarkStart w:id="21" w:name="_Toc173677398"/>
      <w:bookmarkStart w:id="22" w:name="_Toc156196560"/>
      <w:bookmarkStart w:id="23" w:name="_Toc156730451"/>
      <w:bookmarkStart w:id="24" w:name="_Toc166549449"/>
      <w:bookmarkStart w:id="25" w:name="_Toc128229746"/>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237057793"/>
      <w:bookmarkStart w:id="29" w:name="_Toc156196472"/>
      <w:bookmarkStart w:id="30" w:name="_Toc128229747"/>
      <w:bookmarkStart w:id="31" w:name="_Toc175017344"/>
      <w:bookmarkStart w:id="32" w:name="_Toc173677399"/>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9B0B90"/>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9848</Words>
  <Characters>11098</Characters>
  <Lines>202</Lines>
  <Paragraphs>243</Paragraphs>
  <TotalTime>21</TotalTime>
  <ScaleCrop>false</ScaleCrop>
  <LinksUpToDate>false</LinksUpToDate>
  <CharactersWithSpaces>11274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