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b/>
          <w:sz w:val="50"/>
          <w:szCs w:val="50"/>
        </w:rPr>
      </w:pPr>
    </w:p>
    <w:p>
      <w:pPr>
        <w:pStyle w:val="3"/>
      </w:pPr>
    </w:p>
    <w:p>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pPr>
        <w:adjustRightInd w:val="0"/>
        <w:snapToGrid w:val="0"/>
        <w:spacing w:line="360" w:lineRule="auto"/>
        <w:rPr>
          <w:rFonts w:ascii="仿宋_GB2312" w:eastAsia="仿宋_GB2312"/>
          <w:sz w:val="24"/>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sz w:val="32"/>
          <w:szCs w:val="32"/>
          <w:lang w:val="en-US" w:eastAsia="zh-CN"/>
        </w:rPr>
      </w:pPr>
      <w:r>
        <w:rPr>
          <w:rFonts w:hint="eastAsia" w:ascii="宋体" w:hAnsi="宋体" w:eastAsia="宋体" w:cs="Times New Roman"/>
          <w:kern w:val="2"/>
          <w:sz w:val="32"/>
          <w:szCs w:val="32"/>
          <w:lang w:val="en-US" w:eastAsia="zh-CN" w:bidi="ar-SA"/>
        </w:rPr>
        <w:t>项目名称：</w:t>
      </w:r>
      <w:r>
        <w:rPr>
          <w:rFonts w:hint="eastAsia" w:ascii="宋体" w:hAnsi="宋体"/>
          <w:sz w:val="32"/>
          <w:szCs w:val="32"/>
          <w:lang w:val="en-US" w:eastAsia="zh-CN"/>
        </w:rPr>
        <w:t>一次性无菌磨钻头等耗材</w:t>
      </w: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5</w:t>
      </w:r>
      <w:r>
        <w:rPr>
          <w:rFonts w:hint="eastAsia" w:ascii="宋体" w:hAnsi="宋体"/>
          <w:sz w:val="32"/>
          <w:szCs w:val="32"/>
        </w:rPr>
        <w:t>-</w:t>
      </w:r>
      <w:r>
        <w:rPr>
          <w:rFonts w:hint="eastAsia" w:ascii="宋体" w:hAnsi="宋体"/>
          <w:sz w:val="32"/>
          <w:szCs w:val="32"/>
          <w:lang w:val="en-US" w:eastAsia="zh-CN"/>
        </w:rPr>
        <w:t>12022</w:t>
      </w: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rFonts w:ascii="宋体" w:hAnsi="宋体"/>
          <w:b/>
          <w:sz w:val="32"/>
          <w:szCs w:val="32"/>
        </w:rPr>
      </w:pPr>
      <w:r>
        <w:rPr>
          <w:color w:val="000000"/>
          <w:sz w:val="36"/>
          <w:szCs w:val="36"/>
        </w:rPr>
        <w:t>20</w:t>
      </w:r>
      <w:r>
        <w:rPr>
          <w:rFonts w:hint="eastAsia"/>
          <w:color w:val="000000"/>
          <w:sz w:val="36"/>
          <w:szCs w:val="36"/>
        </w:rPr>
        <w:t>2</w:t>
      </w:r>
      <w:r>
        <w:rPr>
          <w:rFonts w:hint="eastAsia"/>
          <w:color w:val="000000"/>
          <w:sz w:val="36"/>
          <w:szCs w:val="36"/>
          <w:lang w:val="en-US" w:eastAsia="zh-CN"/>
        </w:rPr>
        <w:t>5</w:t>
      </w:r>
      <w:r>
        <w:rPr>
          <w:rFonts w:hint="eastAsia"/>
          <w:color w:val="000000"/>
          <w:sz w:val="36"/>
          <w:szCs w:val="36"/>
        </w:rPr>
        <w:t>年</w:t>
      </w:r>
      <w:r>
        <w:rPr>
          <w:rFonts w:hint="eastAsia"/>
          <w:color w:val="000000"/>
          <w:sz w:val="36"/>
          <w:szCs w:val="36"/>
          <w:lang w:val="en-US" w:eastAsia="zh-CN"/>
        </w:rPr>
        <w:t>12</w:t>
      </w:r>
      <w:r>
        <w:rPr>
          <w:rFonts w:hint="eastAsia"/>
          <w:color w:val="000000"/>
          <w:sz w:val="36"/>
          <w:szCs w:val="36"/>
        </w:rPr>
        <w:t>月</w:t>
      </w: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p>
    <w:tbl>
      <w:tblPr>
        <w:tblStyle w:val="9"/>
        <w:tblpPr w:leftFromText="180" w:rightFromText="180" w:vertAnchor="text" w:horzAnchor="page" w:tblpX="525" w:tblpY="102"/>
        <w:tblOverlap w:val="never"/>
        <w:tblW w:w="111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72"/>
        <w:gridCol w:w="1103"/>
        <w:gridCol w:w="1260"/>
        <w:gridCol w:w="1485"/>
        <w:gridCol w:w="1865"/>
        <w:gridCol w:w="1210"/>
        <w:gridCol w:w="1335"/>
        <w:gridCol w:w="1065"/>
        <w:gridCol w:w="1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572"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序号</w:t>
            </w:r>
          </w:p>
        </w:tc>
        <w:tc>
          <w:tcPr>
            <w:tcW w:w="1103"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使用科室</w:t>
            </w:r>
          </w:p>
        </w:tc>
        <w:tc>
          <w:tcPr>
            <w:tcW w:w="126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名称</w:t>
            </w:r>
          </w:p>
        </w:tc>
        <w:tc>
          <w:tcPr>
            <w:tcW w:w="148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材质及尺寸</w:t>
            </w:r>
          </w:p>
        </w:tc>
        <w:tc>
          <w:tcPr>
            <w:tcW w:w="186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用途范围</w:t>
            </w:r>
          </w:p>
        </w:tc>
        <w:tc>
          <w:tcPr>
            <w:tcW w:w="121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组成结构</w:t>
            </w:r>
          </w:p>
        </w:tc>
        <w:tc>
          <w:tcPr>
            <w:tcW w:w="133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年预估用量</w:t>
            </w:r>
          </w:p>
        </w:tc>
        <w:tc>
          <w:tcPr>
            <w:tcW w:w="106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最高单价</w:t>
            </w:r>
          </w:p>
        </w:tc>
        <w:tc>
          <w:tcPr>
            <w:tcW w:w="122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8" w:hRule="atLeast"/>
        </w:trPr>
        <w:tc>
          <w:tcPr>
            <w:tcW w:w="57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1103"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骨科（脊柱外科）</w:t>
            </w:r>
          </w:p>
        </w:tc>
        <w:tc>
          <w:tcPr>
            <w:tcW w:w="126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一次性无菌磨钻头</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p>
        </w:tc>
        <w:tc>
          <w:tcPr>
            <w:tcW w:w="148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尺寸4.0mmx100mm，3.0x100mm，材质不锈钢。</w:t>
            </w:r>
          </w:p>
        </w:tc>
        <w:tc>
          <w:tcPr>
            <w:tcW w:w="186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适用于内窥镜手术、显微镜手术及开放性手术中对人体骨组织进行切削处理</w:t>
            </w:r>
          </w:p>
        </w:tc>
        <w:tc>
          <w:tcPr>
            <w:tcW w:w="1210"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由钻头，刀杆和接口组成</w:t>
            </w:r>
          </w:p>
        </w:tc>
        <w:tc>
          <w:tcPr>
            <w:tcW w:w="133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100</w:t>
            </w:r>
            <w:r>
              <w:rPr>
                <w:rFonts w:hint="eastAsia" w:ascii="宋体" w:hAnsi="宋体" w:cs="宋体"/>
                <w:i w:val="0"/>
                <w:iCs w:val="0"/>
                <w:color w:val="000000"/>
                <w:kern w:val="0"/>
                <w:sz w:val="21"/>
                <w:szCs w:val="21"/>
                <w:u w:val="none"/>
                <w:lang w:val="en-US" w:eastAsia="zh-CN" w:bidi="ar"/>
              </w:rPr>
              <w:t>套</w:t>
            </w:r>
          </w:p>
        </w:tc>
        <w:tc>
          <w:tcPr>
            <w:tcW w:w="106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3500</w:t>
            </w:r>
            <w:r>
              <w:rPr>
                <w:rFonts w:hint="eastAsia" w:ascii="宋体" w:hAnsi="宋体" w:cs="宋体"/>
                <w:i w:val="0"/>
                <w:iCs w:val="0"/>
                <w:color w:val="000000"/>
                <w:kern w:val="0"/>
                <w:sz w:val="21"/>
                <w:szCs w:val="21"/>
                <w:u w:val="none"/>
                <w:lang w:val="en-US" w:eastAsia="zh-CN" w:bidi="ar"/>
              </w:rPr>
              <w:t>元/套</w:t>
            </w:r>
          </w:p>
        </w:tc>
        <w:tc>
          <w:tcPr>
            <w:tcW w:w="122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本产品采用伽玛射线辐射灭菌工艺灭菌，有效期两年。配套设备：骨科动力系统（贵州梓锐DL-JW）。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8" w:hRule="atLeast"/>
        </w:trPr>
        <w:tc>
          <w:tcPr>
            <w:tcW w:w="57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1103"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骨科（脊柱外科）</w:t>
            </w:r>
          </w:p>
        </w:tc>
        <w:tc>
          <w:tcPr>
            <w:tcW w:w="1260"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一次性无菌微创脊柱钻头</w:t>
            </w:r>
          </w:p>
        </w:tc>
        <w:tc>
          <w:tcPr>
            <w:tcW w:w="148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尺寸3.5mmx290mm，3.5mmx315mm，材质不锈钢</w:t>
            </w:r>
          </w:p>
        </w:tc>
        <w:tc>
          <w:tcPr>
            <w:tcW w:w="186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适用于内窥镜手术、显微镜手术及开放性手术中对人体骨组织进行切削处理</w:t>
            </w:r>
          </w:p>
        </w:tc>
        <w:tc>
          <w:tcPr>
            <w:tcW w:w="121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由钻头，刀杆和接口组成</w:t>
            </w:r>
          </w:p>
        </w:tc>
        <w:tc>
          <w:tcPr>
            <w:tcW w:w="133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50套</w:t>
            </w:r>
          </w:p>
        </w:tc>
        <w:tc>
          <w:tcPr>
            <w:tcW w:w="106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7000</w:t>
            </w:r>
            <w:r>
              <w:rPr>
                <w:rFonts w:hint="eastAsia" w:ascii="宋体" w:hAnsi="宋体" w:cs="宋体"/>
                <w:i w:val="0"/>
                <w:iCs w:val="0"/>
                <w:color w:val="000000"/>
                <w:kern w:val="0"/>
                <w:sz w:val="21"/>
                <w:szCs w:val="21"/>
                <w:u w:val="none"/>
                <w:lang w:val="en-US" w:eastAsia="zh-CN" w:bidi="ar"/>
              </w:rPr>
              <w:t>元/套</w:t>
            </w:r>
          </w:p>
        </w:tc>
        <w:tc>
          <w:tcPr>
            <w:tcW w:w="122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本产品采用伽玛射线辐射灭菌工艺灭菌，有效期两年。配套设备：骨科动力系统（贵州梓锐DL-JW）。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98" w:hRule="atLeast"/>
        </w:trPr>
        <w:tc>
          <w:tcPr>
            <w:tcW w:w="9895" w:type="dxa"/>
            <w:gridSpan w:val="8"/>
            <w:shd w:val="clear" w:color="auto" w:fill="auto"/>
            <w:vAlign w:val="center"/>
          </w:tcPr>
          <w:p>
            <w:pPr>
              <w:keepNext w:val="0"/>
              <w:keepLines w:val="0"/>
              <w:widowControl/>
              <w:suppressLineNumbers w:val="0"/>
              <w:tabs>
                <w:tab w:val="left" w:pos="2297"/>
              </w:tabs>
              <w:jc w:val="left"/>
              <w:textAlignment w:val="center"/>
              <w:rPr>
                <w:rFonts w:hint="default" w:ascii="宋体" w:hAnsi="宋体" w:cs="宋体"/>
                <w:i w:val="0"/>
                <w:iCs w:val="0"/>
                <w:color w:val="000000"/>
                <w:kern w:val="0"/>
                <w:sz w:val="21"/>
                <w:szCs w:val="21"/>
                <w:u w:val="none"/>
                <w:lang w:val="en-US" w:eastAsia="zh-CN" w:bidi="ar"/>
              </w:rPr>
            </w:pPr>
            <w:r>
              <w:rPr>
                <w:rFonts w:hint="eastAsia" w:ascii="微软雅黑" w:hAnsi="微软雅黑" w:eastAsia="微软雅黑" w:cs="微软雅黑"/>
                <w:i w:val="0"/>
                <w:iCs w:val="0"/>
                <w:caps w:val="0"/>
                <w:color w:val="000000"/>
                <w:spacing w:val="0"/>
                <w:sz w:val="21"/>
                <w:szCs w:val="21"/>
                <w:shd w:val="clear" w:fill="FFFFFF"/>
                <w:lang w:val="en-US" w:eastAsia="zh-CN"/>
              </w:rPr>
              <w:t>备注：</w:t>
            </w:r>
            <w:r>
              <w:rPr>
                <w:rFonts w:hint="eastAsia" w:ascii="仿宋" w:hAnsi="仿宋" w:eastAsia="仿宋"/>
                <w:b/>
                <w:color w:val="auto"/>
                <w:sz w:val="28"/>
                <w:szCs w:val="28"/>
                <w:highlight w:val="none"/>
                <w:lang w:val="en-US" w:eastAsia="zh-CN"/>
              </w:rPr>
              <w:t>年预估用量并非采购量承诺，以实际用量据实结算。</w:t>
            </w:r>
          </w:p>
        </w:tc>
        <w:tc>
          <w:tcPr>
            <w:tcW w:w="1222" w:type="dxa"/>
            <w:shd w:val="clear" w:color="auto" w:fill="auto"/>
            <w:vAlign w:val="center"/>
          </w:tcPr>
          <w:p>
            <w:pPr>
              <w:keepNext w:val="0"/>
              <w:keepLines w:val="0"/>
              <w:widowControl/>
              <w:suppressLineNumbers w:val="0"/>
              <w:tabs>
                <w:tab w:val="left" w:pos="2297"/>
              </w:tabs>
              <w:jc w:val="left"/>
              <w:textAlignment w:val="center"/>
              <w:rPr>
                <w:rFonts w:hint="eastAsia" w:ascii="微软雅黑" w:hAnsi="微软雅黑" w:eastAsia="微软雅黑" w:cs="微软雅黑"/>
                <w:i w:val="0"/>
                <w:iCs w:val="0"/>
                <w:caps w:val="0"/>
                <w:color w:val="000000"/>
                <w:spacing w:val="0"/>
                <w:sz w:val="21"/>
                <w:szCs w:val="21"/>
                <w:shd w:val="clear" w:fill="FFFFFF"/>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仿宋" w:hAnsi="仿宋" w:eastAsia="仿宋"/>
          <w:b/>
          <w:color w:val="auto"/>
          <w:sz w:val="28"/>
          <w:szCs w:val="28"/>
          <w:highlight w:val="none"/>
          <w:lang w:val="en-US" w:eastAsia="zh-CN"/>
        </w:rPr>
      </w:pPr>
      <w:bookmarkStart w:id="34" w:name="_GoBack"/>
      <w:bookmarkEnd w:id="34"/>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1.合作要求：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1</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本项目</w:t>
      </w:r>
      <w:r>
        <w:rPr>
          <w:rFonts w:hint="eastAsia" w:ascii="方正仿宋_GBK" w:hAnsi="方正仿宋_GBK" w:eastAsia="方正仿宋_GBK" w:cs="方正仿宋_GBK"/>
          <w:b/>
          <w:color w:val="auto"/>
          <w:sz w:val="30"/>
          <w:szCs w:val="30"/>
          <w:highlight w:val="none"/>
        </w:rPr>
        <w:t>为单价合同，</w:t>
      </w:r>
      <w:r>
        <w:rPr>
          <w:rFonts w:hint="eastAsia" w:ascii="方正仿宋_GBK" w:hAnsi="方正仿宋_GBK" w:eastAsia="方正仿宋_GBK" w:cs="方正仿宋_GBK"/>
          <w:b/>
          <w:color w:val="auto"/>
          <w:sz w:val="30"/>
          <w:szCs w:val="30"/>
          <w:highlight w:val="none"/>
          <w:lang w:val="en-US" w:eastAsia="zh-CN"/>
        </w:rPr>
        <w:t>合同期间如遇国家或上级政策调整合同无法继续执行，医院有权要求终止或更正合同，成交供应商须无条件接受；</w:t>
      </w:r>
      <w:r>
        <w:rPr>
          <w:rFonts w:hint="eastAsia" w:ascii="方正仿宋_GBK" w:hAnsi="方正仿宋_GBK" w:eastAsia="方正仿宋_GBK" w:cs="方正仿宋_GBK"/>
          <w:b/>
          <w:color w:val="auto"/>
          <w:sz w:val="30"/>
          <w:szCs w:val="30"/>
          <w:highlight w:val="yellow"/>
          <w:lang w:val="en-US" w:eastAsia="zh-CN"/>
        </w:rPr>
        <w:t>如供应商在履约期间遇到不可抗力等事由不能继续供货，应提前2周书面来函告知，给采购人留足采购时间。合同期内非因不可抗力原因导致某项产品停供，授权到期不能继续获得新授权或授权被提前终止，以及不可抗力原因导致某产品停供但未提前2周告知的，供应商将承担1000元/项产品的违约责任（在货款中扣除）及由此产生的紧急采购成本。</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（2）供应商需提供药交所最低成交价和重庆地区最低价承诺，产品价格下降应在一周内书面通知采购人，违反承诺将承担5万元违约金，并从最低价执行之日倒结算并退还采购人多支付的费用。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rPr>
      </w:pPr>
      <w:r>
        <w:rPr>
          <w:rFonts w:hint="eastAsia" w:ascii="方正仿宋_GBK" w:hAnsi="方正仿宋_GBK" w:eastAsia="方正仿宋_GBK" w:cs="方正仿宋_GBK"/>
          <w:b/>
          <w:color w:val="auto"/>
          <w:sz w:val="30"/>
          <w:szCs w:val="30"/>
          <w:highlight w:val="none"/>
          <w:lang w:val="en-US" w:eastAsia="zh-CN"/>
        </w:rPr>
        <w:t>（3）合同期间根据供应商履约及产品质量情况进行考核，供应商的配送服务不及时或产品质量不合格以及违反最低价承诺的采购人可随时终止合同，因产品设计缺陷和质量问题造成患者损害应全额赔偿</w:t>
      </w:r>
      <w:r>
        <w:rPr>
          <w:rFonts w:hint="eastAsia" w:ascii="方正仿宋_GBK" w:hAnsi="方正仿宋_GBK" w:eastAsia="方正仿宋_GBK" w:cs="方正仿宋_GBK"/>
          <w:b/>
          <w:color w:val="auto"/>
          <w:sz w:val="30"/>
          <w:szCs w:val="30"/>
          <w:highlight w:val="none"/>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4</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供应商在履约过程中，放弃合同中的部分产品，采购人有权终止整个合同，避免供应商选择性供应利润较大的产品。</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2.</w:t>
      </w:r>
      <w:r>
        <w:rPr>
          <w:rFonts w:hint="eastAsia" w:ascii="方正仿宋_GBK" w:hAnsi="方正仿宋_GBK" w:eastAsia="方正仿宋_GBK" w:cs="方正仿宋_GBK"/>
          <w:b/>
          <w:sz w:val="30"/>
          <w:szCs w:val="30"/>
          <w:highlight w:val="none"/>
        </w:rPr>
        <w:t>投标人（下称竞标人或称供应商</w:t>
      </w:r>
      <w:r>
        <w:rPr>
          <w:rFonts w:hint="eastAsia" w:ascii="方正仿宋_GBK" w:hAnsi="方正仿宋_GBK" w:eastAsia="方正仿宋_GBK" w:cs="方正仿宋_GBK"/>
          <w:b/>
          <w:bCs w:val="0"/>
          <w:sz w:val="30"/>
          <w:szCs w:val="30"/>
          <w:highlight w:val="none"/>
        </w:rPr>
        <w:t>）</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3.投标保证金及管理要求：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（1）供应商报名前须向采购人缴纳投标保证金1000元，形式可为现金、支票、汇款、银行保函等。供应商应在投标时间内将报名表和投标保证金缴纳凭证发到采购办邮箱视为报名成功，未报名不接受其响应资料。</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4.履约保证金及管理要求：</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在合同签订前，成交供应商向采购人缴纳项目履约保证金20000元（形式可为现金、支票、汇款、银行见索即付保函等）。</w:t>
      </w:r>
      <w:r>
        <w:rPr>
          <w:rFonts w:hint="eastAsia" w:ascii="方正仿宋_GBK" w:hAnsi="方正仿宋_GBK" w:eastAsia="方正仿宋_GBK" w:cs="方正仿宋_GBK"/>
          <w:color w:val="auto"/>
          <w:sz w:val="30"/>
          <w:szCs w:val="30"/>
          <w:highlight w:val="yellow"/>
          <w:lang w:val="en-US" w:eastAsia="zh-CN"/>
        </w:rPr>
        <w:t>履约保障金将用于约束供应商保障长期供应、及时供应、产品质量、药交所最低价或重庆地区线上备案最低价、投标行为无围标串标、履约期间无廉洁违纪行为、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障金。供应商产品质量引起的医疗纠纷由供应商先行垫付鉴定费用（如供应商不垫付将优先使用履约保证金支付鉴定费），待鉴定结果依法依规处理。供应商无上述行为，合同期满将一次性无息退还；供应商如有上述行为，</w:t>
      </w:r>
      <w:r>
        <w:rPr>
          <w:rFonts w:hint="eastAsia" w:ascii="方正仿宋_GBK" w:hAnsi="方正仿宋_GBK" w:eastAsia="方正仿宋_GBK" w:cs="方正仿宋_GBK"/>
          <w:kern w:val="2"/>
          <w:sz w:val="30"/>
          <w:szCs w:val="30"/>
          <w:highlight w:val="yellow"/>
          <w:lang w:val="en-US" w:eastAsia="zh-CN" w:bidi="ar-SA"/>
        </w:rPr>
        <w:t>将纳入采购人供应商不良执业记录进行管理。</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sz w:val="30"/>
          <w:szCs w:val="30"/>
          <w:highlight w:val="yellow"/>
          <w:lang w:val="en-US" w:eastAsia="zh-CN"/>
        </w:rPr>
        <w:t>不良事件管理，发生不良事件后供应商应24小时来院协助调查，评估不良事件与产品有无直接关联，对可能影响患者安全的应及时发出停止使用通知；一年内发生2次产品相同不良事件，采购人将委托第三方机构对产品进行安全性评估或司法鉴定，费用由供应商承担，评估鉴定结果出来前停止使用该产品，待结果排除产品质量缺陷且完成整改后方能继续使用。不良事件造成患者损害且与产品质量相关的，供应商应承担赔偿责任。</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交货地点：</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6.</w:t>
      </w:r>
      <w:r>
        <w:rPr>
          <w:rFonts w:hint="eastAsia" w:ascii="方正仿宋_GBK" w:hAnsi="方正仿宋_GBK" w:eastAsia="方正仿宋_GBK" w:cs="方正仿宋_GBK"/>
          <w:b/>
          <w:sz w:val="30"/>
          <w:szCs w:val="30"/>
          <w:highlight w:val="none"/>
        </w:rPr>
        <w:t>付款方式</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51" w:firstLineChars="217"/>
        <w:textAlignment w:val="auto"/>
        <w:outlineLvl w:val="9"/>
        <w:rPr>
          <w:rFonts w:hint="eastAsia" w:ascii="方正仿宋_GBK" w:hAnsi="方正仿宋_GBK" w:eastAsia="方正仿宋_GBK" w:cs="方正仿宋_GBK"/>
          <w:b w:val="0"/>
          <w:bCs w:val="0"/>
          <w:color w:val="auto"/>
          <w:sz w:val="30"/>
          <w:szCs w:val="30"/>
          <w:highlight w:val="none"/>
        </w:rPr>
      </w:pPr>
      <w:r>
        <w:rPr>
          <w:rFonts w:hint="eastAsia" w:ascii="方正仿宋_GBK" w:hAnsi="方正仿宋_GBK" w:eastAsia="方正仿宋_GBK" w:cs="方正仿宋_GBK"/>
          <w:b w:val="0"/>
          <w:bCs w:val="0"/>
          <w:color w:val="auto"/>
          <w:sz w:val="30"/>
          <w:szCs w:val="30"/>
          <w:highlight w:val="none"/>
        </w:rPr>
        <w:t>1、本次耗材采购无预付款。</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b w:val="0"/>
          <w:bCs w:val="0"/>
          <w:color w:val="auto"/>
          <w:sz w:val="30"/>
          <w:szCs w:val="30"/>
          <w:highlight w:val="none"/>
        </w:rPr>
        <w:t>2、</w:t>
      </w:r>
      <w:r>
        <w:rPr>
          <w:rFonts w:hint="eastAsia" w:ascii="方正仿宋_GBK" w:hAnsi="方正仿宋_GBK" w:eastAsia="方正仿宋_GBK" w:cs="方正仿宋_GBK"/>
          <w:color w:val="auto"/>
          <w:sz w:val="30"/>
          <w:szCs w:val="30"/>
          <w:highlight w:val="none"/>
          <w:lang w:eastAsia="zh-CN"/>
        </w:rPr>
        <w:t>招标人批量订货，成交供应商送达后</w:t>
      </w:r>
      <w:r>
        <w:rPr>
          <w:rFonts w:hint="eastAsia" w:ascii="方正仿宋_GBK" w:hAnsi="方正仿宋_GBK" w:eastAsia="方正仿宋_GBK" w:cs="方正仿宋_GBK"/>
          <w:b/>
          <w:bCs/>
          <w:color w:val="auto"/>
          <w:sz w:val="30"/>
          <w:szCs w:val="30"/>
          <w:highlight w:val="none"/>
          <w:lang w:eastAsia="zh-CN"/>
        </w:rPr>
        <w:t>每</w:t>
      </w:r>
      <w:r>
        <w:rPr>
          <w:rFonts w:hint="eastAsia" w:ascii="方正仿宋_GBK" w:hAnsi="方正仿宋_GBK" w:eastAsia="方正仿宋_GBK" w:cs="方正仿宋_GBK"/>
          <w:b/>
          <w:bCs/>
          <w:color w:val="auto"/>
          <w:sz w:val="30"/>
          <w:szCs w:val="30"/>
          <w:highlight w:val="none"/>
          <w:lang w:val="en-US" w:eastAsia="zh-CN"/>
        </w:rPr>
        <w:t>半年</w:t>
      </w:r>
      <w:r>
        <w:rPr>
          <w:rFonts w:hint="eastAsia" w:ascii="方正仿宋_GBK" w:hAnsi="方正仿宋_GBK" w:eastAsia="方正仿宋_GBK" w:cs="方正仿宋_GBK"/>
          <w:color w:val="auto"/>
          <w:sz w:val="30"/>
          <w:szCs w:val="30"/>
          <w:highlight w:val="none"/>
          <w:lang w:eastAsia="zh-CN"/>
        </w:rPr>
        <w:t>根据实际</w:t>
      </w:r>
      <w:r>
        <w:rPr>
          <w:rFonts w:hint="eastAsia" w:ascii="方正仿宋_GBK" w:hAnsi="方正仿宋_GBK" w:eastAsia="方正仿宋_GBK" w:cs="方正仿宋_GBK"/>
          <w:color w:val="auto"/>
          <w:sz w:val="30"/>
          <w:szCs w:val="30"/>
          <w:highlight w:val="none"/>
          <w:lang w:val="en-US" w:eastAsia="zh-CN"/>
        </w:rPr>
        <w:t>使用情况</w:t>
      </w:r>
      <w:r>
        <w:rPr>
          <w:rFonts w:hint="eastAsia" w:ascii="方正仿宋_GBK" w:hAnsi="方正仿宋_GBK" w:eastAsia="方正仿宋_GBK" w:cs="方正仿宋_GBK"/>
          <w:color w:val="auto"/>
          <w:sz w:val="30"/>
          <w:szCs w:val="30"/>
          <w:highlight w:val="none"/>
          <w:lang w:eastAsia="zh-CN"/>
        </w:rPr>
        <w:t>开具相应金额的发票</w:t>
      </w:r>
      <w:r>
        <w:rPr>
          <w:rFonts w:hint="eastAsia" w:ascii="方正仿宋_GBK" w:hAnsi="方正仿宋_GBK" w:eastAsia="方正仿宋_GBK" w:cs="方正仿宋_GBK"/>
          <w:color w:val="auto"/>
          <w:sz w:val="30"/>
          <w:szCs w:val="30"/>
          <w:highlight w:val="none"/>
          <w:lang w:val="en-US" w:eastAsia="zh-CN"/>
        </w:rPr>
        <w:t>、送货验收单，</w:t>
      </w:r>
      <w:r>
        <w:rPr>
          <w:rFonts w:hint="eastAsia" w:ascii="方正仿宋_GBK" w:hAnsi="方正仿宋_GBK" w:eastAsia="方正仿宋_GBK" w:cs="方正仿宋_GBK"/>
          <w:color w:val="auto"/>
          <w:sz w:val="30"/>
          <w:szCs w:val="30"/>
          <w:highlight w:val="none"/>
          <w:lang w:eastAsia="zh-CN"/>
        </w:rPr>
        <w:t>招标人在收</w:t>
      </w:r>
      <w:r>
        <w:rPr>
          <w:rFonts w:hint="eastAsia" w:ascii="方正仿宋_GBK" w:hAnsi="方正仿宋_GBK" w:eastAsia="方正仿宋_GBK" w:cs="方正仿宋_GBK"/>
          <w:color w:val="auto"/>
          <w:sz w:val="30"/>
          <w:szCs w:val="30"/>
          <w:highlight w:val="none"/>
          <w:lang w:val="en-US" w:eastAsia="zh-CN"/>
        </w:rPr>
        <w:t>齐资料后进行院内付款流程。</w:t>
      </w:r>
      <w:r>
        <w:rPr>
          <w:rFonts w:hint="eastAsia" w:ascii="方正仿宋_GBK" w:hAnsi="方正仿宋_GBK" w:eastAsia="方正仿宋_GBK" w:cs="方正仿宋_GBK"/>
          <w:color w:val="auto"/>
          <w:sz w:val="30"/>
          <w:szCs w:val="30"/>
          <w:highlight w:val="none"/>
          <w:lang w:eastAsia="zh-CN"/>
        </w:rPr>
        <w:t>付款</w:t>
      </w:r>
      <w:r>
        <w:rPr>
          <w:rFonts w:hint="eastAsia" w:ascii="方正仿宋_GBK" w:hAnsi="方正仿宋_GBK" w:eastAsia="方正仿宋_GBK" w:cs="方正仿宋_GBK"/>
          <w:color w:val="auto"/>
          <w:sz w:val="30"/>
          <w:szCs w:val="30"/>
          <w:highlight w:val="none"/>
          <w:lang w:val="en-US" w:eastAsia="zh-CN"/>
        </w:rPr>
        <w:t>方式</w:t>
      </w:r>
      <w:r>
        <w:rPr>
          <w:rFonts w:hint="eastAsia" w:ascii="方正仿宋_GBK" w:hAnsi="方正仿宋_GBK" w:eastAsia="方正仿宋_GBK" w:cs="方正仿宋_GBK"/>
          <w:color w:val="auto"/>
          <w:sz w:val="30"/>
          <w:szCs w:val="30"/>
          <w:highlight w:val="none"/>
          <w:lang w:eastAsia="zh-CN"/>
        </w:rPr>
        <w:t>以银行汇</w:t>
      </w:r>
      <w:r>
        <w:rPr>
          <w:rFonts w:hint="eastAsia" w:ascii="方正仿宋_GBK" w:hAnsi="方正仿宋_GBK" w:eastAsia="方正仿宋_GBK" w:cs="方正仿宋_GBK"/>
          <w:color w:val="auto"/>
          <w:sz w:val="30"/>
          <w:szCs w:val="30"/>
          <w:highlight w:val="none"/>
          <w:lang w:val="en-US" w:eastAsia="zh-CN"/>
        </w:rPr>
        <w:t>款</w:t>
      </w:r>
      <w:r>
        <w:rPr>
          <w:rFonts w:hint="eastAsia" w:ascii="方正仿宋_GBK" w:hAnsi="方正仿宋_GBK" w:eastAsia="方正仿宋_GBK" w:cs="方正仿宋_GBK"/>
          <w:color w:val="auto"/>
          <w:sz w:val="30"/>
          <w:szCs w:val="30"/>
          <w:highlight w:val="none"/>
          <w:lang w:eastAsia="zh-CN"/>
        </w:rPr>
        <w:t>方式支付费用。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7.</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r>
        <w:rPr>
          <w:rFonts w:hint="eastAsia" w:ascii="方正仿宋_GBK" w:hAnsi="方正仿宋_GBK" w:eastAsia="方正仿宋_GBK" w:cs="方正仿宋_GBK"/>
          <w:b/>
          <w:bCs/>
          <w:sz w:val="30"/>
          <w:szCs w:val="30"/>
          <w:highlight w:val="none"/>
          <w:lang w:val="en-US" w:eastAsia="zh-CN"/>
        </w:rPr>
        <w:t>试剂类耗材如包含配套质控品、校准品、清洗液、其他辅材等，应明确报价是否包含相关产品，如未包含应单独报价。</w:t>
      </w:r>
      <w:r>
        <w:rPr>
          <w:rFonts w:hint="eastAsia" w:ascii="方正仿宋_GBK" w:hAnsi="方正仿宋_GBK" w:eastAsia="方正仿宋_GBK" w:cs="方正仿宋_GBK"/>
          <w:sz w:val="30"/>
          <w:szCs w:val="30"/>
          <w:highlight w:val="none"/>
          <w:lang w:val="en-US" w:eastAsia="zh-CN"/>
        </w:rPr>
        <w:t>院内已招采SPD服务，供应商投标时须考虑SPD配送服务价格</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red"/>
          <w:lang w:val="en-US" w:eastAsia="zh-CN"/>
        </w:rPr>
        <w:t>供应商的报价不得高于此前设备采购综合评分耗材的报价（如有招采专机专用耗材的设备）和药交所的最低成交价，</w:t>
      </w:r>
      <w:r>
        <w:rPr>
          <w:rFonts w:hint="eastAsia" w:ascii="方正仿宋_GBK" w:hAnsi="方正仿宋_GBK" w:eastAsia="方正仿宋_GBK" w:cs="方正仿宋_GBK"/>
          <w:sz w:val="30"/>
          <w:szCs w:val="30"/>
          <w:highlight w:val="yellow"/>
          <w:lang w:val="en-US" w:eastAsia="zh-CN"/>
        </w:rPr>
        <w:t>低于药交所最低成交价和未挂网产品视为同意采购人通过药交所线上备案采购</w:t>
      </w:r>
      <w:r>
        <w:rPr>
          <w:rFonts w:hint="eastAsia" w:ascii="方正仿宋_GBK" w:hAnsi="方正仿宋_GBK" w:eastAsia="方正仿宋_GBK" w:cs="方正仿宋_GBK"/>
          <w:b/>
          <w:bCs/>
          <w:sz w:val="30"/>
          <w:szCs w:val="30"/>
          <w:highlight w:val="yellow"/>
          <w:lang w:val="en-US" w:eastAsia="zh-CN"/>
        </w:rPr>
        <w:t>线上结算。</w:t>
      </w:r>
      <w:r>
        <w:rPr>
          <w:rFonts w:hint="eastAsia" w:ascii="方正仿宋_GBK" w:hAnsi="方正仿宋_GBK" w:eastAsia="方正仿宋_GBK" w:cs="方正仿宋_GBK"/>
          <w:b/>
          <w:bCs/>
          <w:sz w:val="30"/>
          <w:szCs w:val="30"/>
          <w:highlight w:val="none"/>
          <w:lang w:val="en-US" w:eastAsia="zh-CN"/>
        </w:rPr>
        <w:t>为保障响应供应商配送产品的合法来源和报价的可行性，中选供应商应提供生产厂家或代理商的授权。（</w:t>
      </w:r>
      <w:r>
        <w:rPr>
          <w:rFonts w:hint="eastAsia" w:ascii="方正仿宋_GBK" w:hAnsi="方正仿宋_GBK" w:eastAsia="方正仿宋_GBK" w:cs="方正仿宋_GBK"/>
          <w:kern w:val="2"/>
          <w:sz w:val="30"/>
          <w:szCs w:val="30"/>
          <w:highlight w:val="none"/>
          <w:lang w:val="en-US" w:eastAsia="zh-CN" w:bidi="ar-SA"/>
        </w:rPr>
        <w:t>可在投标文件中一并提供</w:t>
      </w:r>
      <w:r>
        <w:rPr>
          <w:rFonts w:hint="eastAsia" w:ascii="方正仿宋_GBK" w:hAnsi="方正仿宋_GBK" w:eastAsia="方正仿宋_GBK" w:cs="方正仿宋_GBK"/>
          <w:sz w:val="30"/>
          <w:szCs w:val="30"/>
          <w:highlight w:val="none"/>
          <w:lang w:val="en-US" w:eastAsia="zh-CN"/>
        </w:rPr>
        <w:t>，相关授权文件最迟应在中选后5个工作日内送采购人审核，否则视为无效响应，投标保证金将不予退还）</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8.联合体投标</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lang w:val="en-US" w:eastAsia="zh-CN"/>
        </w:rPr>
        <w:t>允许供应商分别响应本项目的所有产品，供应商应在投标资料封面标注所投产品信息，不接受供应商新增其他品规产品，不接受联合体投标，否则视为无效投标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9.合同及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合同签订前，</w:t>
      </w:r>
      <w:r>
        <w:rPr>
          <w:rFonts w:hint="eastAsia" w:ascii="方正仿宋_GBK" w:hAnsi="方正仿宋_GBK" w:eastAsia="方正仿宋_GBK" w:cs="方正仿宋_GBK"/>
          <w:color w:val="auto"/>
          <w:sz w:val="30"/>
          <w:szCs w:val="30"/>
          <w:highlight w:val="yellow"/>
          <w:lang w:val="en-US" w:eastAsia="zh-CN"/>
        </w:rPr>
        <w:t>采购人可以要求供应商提供响应文件的原件进行核对</w:t>
      </w:r>
      <w:r>
        <w:rPr>
          <w:rFonts w:hint="eastAsia" w:ascii="方正仿宋_GBK" w:hAnsi="方正仿宋_GBK" w:eastAsia="方正仿宋_GBK" w:cs="方正仿宋_GBK"/>
          <w:color w:val="auto"/>
          <w:sz w:val="30"/>
          <w:szCs w:val="30"/>
          <w:highlight w:val="none"/>
          <w:lang w:val="en-US" w:eastAsia="zh-CN"/>
        </w:rPr>
        <w:t>，此外对未使用的产品有权要求拟成交供应商提供部分样品进行试用，根据临床科室试用意见确定成交供应商。本项目</w:t>
      </w:r>
      <w:r>
        <w:rPr>
          <w:rFonts w:hint="eastAsia" w:ascii="方正仿宋_GBK" w:hAnsi="方正仿宋_GBK" w:eastAsia="方正仿宋_GBK" w:cs="方正仿宋_GBK"/>
          <w:sz w:val="30"/>
          <w:szCs w:val="30"/>
          <w:highlight w:val="none"/>
        </w:rPr>
        <w:t>合同</w:t>
      </w:r>
      <w:r>
        <w:rPr>
          <w:rFonts w:hint="eastAsia" w:ascii="方正仿宋_GBK" w:hAnsi="方正仿宋_GBK" w:eastAsia="方正仿宋_GBK" w:cs="方正仿宋_GBK"/>
          <w:sz w:val="30"/>
          <w:szCs w:val="30"/>
          <w:highlight w:val="none"/>
          <w:lang w:val="en-US" w:eastAsia="zh-CN"/>
        </w:rPr>
        <w:t>期限</w:t>
      </w:r>
      <w:r>
        <w:rPr>
          <w:rFonts w:hint="eastAsia" w:ascii="方正仿宋_GBK" w:hAnsi="方正仿宋_GBK" w:eastAsia="方正仿宋_GBK" w:cs="方正仿宋_GBK"/>
          <w:sz w:val="30"/>
          <w:szCs w:val="30"/>
          <w:highlight w:val="none"/>
        </w:rPr>
        <w:t>3年</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签订合同后，根据</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要求按批次进行供货。</w:t>
      </w:r>
      <w:r>
        <w:rPr>
          <w:rFonts w:hint="eastAsia" w:ascii="方正仿宋_GBK" w:hAnsi="方正仿宋_GBK" w:eastAsia="方正仿宋_GBK" w:cs="方正仿宋_GBK"/>
          <w:color w:val="auto"/>
          <w:sz w:val="30"/>
          <w:szCs w:val="30"/>
          <w:highlight w:val="none"/>
          <w:lang w:val="en-US" w:eastAsia="zh-CN"/>
        </w:rPr>
        <w:t>接到</w:t>
      </w:r>
      <w:r>
        <w:rPr>
          <w:rFonts w:hint="eastAsia" w:ascii="方正仿宋_GBK" w:hAnsi="方正仿宋_GBK" w:eastAsia="方正仿宋_GBK" w:cs="方正仿宋_GBK"/>
          <w:color w:val="auto"/>
          <w:sz w:val="30"/>
          <w:szCs w:val="30"/>
          <w:highlight w:val="none"/>
          <w:lang w:eastAsia="zh-CN"/>
        </w:rPr>
        <w:t>招标人的送货通知</w:t>
      </w:r>
      <w:r>
        <w:rPr>
          <w:rFonts w:hint="eastAsia" w:ascii="方正仿宋_GBK" w:hAnsi="方正仿宋_GBK" w:eastAsia="方正仿宋_GBK" w:cs="方正仿宋_GBK"/>
          <w:color w:val="auto"/>
          <w:sz w:val="30"/>
          <w:szCs w:val="30"/>
          <w:highlight w:val="none"/>
          <w:lang w:val="en-US" w:eastAsia="zh-CN"/>
        </w:rPr>
        <w:t>48</w:t>
      </w:r>
      <w:r>
        <w:rPr>
          <w:rFonts w:hint="eastAsia" w:ascii="方正仿宋_GBK" w:hAnsi="方正仿宋_GBK" w:eastAsia="方正仿宋_GBK" w:cs="方正仿宋_GBK"/>
          <w:color w:val="auto"/>
          <w:sz w:val="30"/>
          <w:szCs w:val="30"/>
          <w:highlight w:val="none"/>
          <w:lang w:eastAsia="zh-CN"/>
        </w:rPr>
        <w:t>小时之内将货物送到医院</w:t>
      </w:r>
      <w:r>
        <w:rPr>
          <w:rFonts w:hint="eastAsia" w:ascii="方正仿宋_GBK" w:hAnsi="方正仿宋_GBK" w:eastAsia="方正仿宋_GBK" w:cs="方正仿宋_GBK"/>
          <w:color w:val="auto"/>
          <w:sz w:val="30"/>
          <w:szCs w:val="30"/>
          <w:highlight w:val="none"/>
          <w:lang w:val="en-US" w:eastAsia="zh-CN"/>
        </w:rPr>
        <w:t>指定</w:t>
      </w:r>
      <w:r>
        <w:rPr>
          <w:rFonts w:hint="eastAsia" w:ascii="方正仿宋_GBK" w:hAnsi="方正仿宋_GBK" w:eastAsia="方正仿宋_GBK" w:cs="方正仿宋_GBK"/>
          <w:color w:val="auto"/>
          <w:sz w:val="30"/>
          <w:szCs w:val="30"/>
          <w:highlight w:val="none"/>
          <w:lang w:eastAsia="zh-CN"/>
        </w:rPr>
        <w:t>地点，</w:t>
      </w:r>
      <w:r>
        <w:rPr>
          <w:rFonts w:hint="eastAsia" w:ascii="方正仿宋_GBK" w:hAnsi="方正仿宋_GBK" w:eastAsia="方正仿宋_GBK" w:cs="方正仿宋_GBK"/>
          <w:color w:val="auto"/>
          <w:sz w:val="30"/>
          <w:szCs w:val="30"/>
          <w:highlight w:val="none"/>
          <w:lang w:val="en-US" w:eastAsia="zh-CN"/>
        </w:rPr>
        <w:t>紧急情况下24小时配送，并</w:t>
      </w:r>
      <w:r>
        <w:rPr>
          <w:rFonts w:hint="eastAsia" w:ascii="方正仿宋_GBK" w:hAnsi="方正仿宋_GBK" w:eastAsia="方正仿宋_GBK" w:cs="方正仿宋_GBK"/>
          <w:color w:val="auto"/>
          <w:sz w:val="30"/>
          <w:szCs w:val="30"/>
          <w:highlight w:val="none"/>
          <w:lang w:eastAsia="zh-CN"/>
        </w:rPr>
        <w:t>配合招标人做好验收入库手续，所供每批产品必须出具送货清单及检验报告或</w:t>
      </w:r>
      <w:r>
        <w:rPr>
          <w:rFonts w:hint="eastAsia" w:ascii="方正仿宋_GBK" w:hAnsi="方正仿宋_GBK" w:eastAsia="方正仿宋_GBK" w:cs="方正仿宋_GBK"/>
          <w:color w:val="auto"/>
          <w:sz w:val="30"/>
          <w:szCs w:val="30"/>
          <w:highlight w:val="none"/>
          <w:lang w:val="en-US" w:eastAsia="zh-CN"/>
        </w:rPr>
        <w:t>冷链运输记录</w:t>
      </w:r>
      <w:r>
        <w:rPr>
          <w:rFonts w:hint="eastAsia" w:ascii="方正仿宋_GBK" w:hAnsi="方正仿宋_GBK" w:eastAsia="方正仿宋_GBK" w:cs="方正仿宋_GBK"/>
          <w:color w:val="auto"/>
          <w:sz w:val="30"/>
          <w:szCs w:val="30"/>
          <w:highlight w:val="none"/>
          <w:lang w:eastAsia="zh-CN"/>
        </w:rPr>
        <w:t>，送货清单要求项目齐全，货单一致，并随货同行，否则不予以验收入库；验收合格入库之后开具正规发票，并承担配送所产生的一切费用。发票类型：增值税普通发票。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10.</w:t>
      </w:r>
      <w:r>
        <w:rPr>
          <w:rFonts w:hint="eastAsia" w:ascii="方正仿宋_GBK" w:hAnsi="方正仿宋_GBK" w:eastAsia="方正仿宋_GBK" w:cs="方正仿宋_GBK"/>
          <w:b/>
          <w:sz w:val="30"/>
          <w:szCs w:val="30"/>
          <w:highlight w:val="none"/>
        </w:rPr>
        <w:t>验收方式：</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（4）成交供应商提供的货物未达到招标文件规定要求，且对招标人造成损失的，由成交供应商承担一切责任，并赔偿所造成的损失。</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（5）招标人需要制造商对成交供应商交付的产品（包括质量、技术参数等）进行确认的，制造商应予以配合，并出具书面意见。</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eastAsia="zh-CN"/>
        </w:rPr>
        <w:t>（6）</w:t>
      </w:r>
      <w:r>
        <w:rPr>
          <w:rFonts w:hint="eastAsia" w:ascii="方正仿宋_GBK" w:hAnsi="方正仿宋_GBK" w:eastAsia="方正仿宋_GBK" w:cs="方正仿宋_GBK"/>
          <w:color w:val="auto"/>
          <w:sz w:val="30"/>
          <w:szCs w:val="30"/>
          <w:highlight w:val="none"/>
          <w:lang w:val="en-US" w:eastAsia="zh-CN"/>
        </w:rPr>
        <w:t>验收产生争议时，采购人委托第三方检测机构进行检测，供应商承担相关费用。</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7</w:t>
      </w:r>
      <w:r>
        <w:rPr>
          <w:rFonts w:hint="eastAsia" w:ascii="方正仿宋_GBK" w:hAnsi="方正仿宋_GBK" w:eastAsia="方正仿宋_GBK" w:cs="方正仿宋_GBK"/>
          <w:color w:val="auto"/>
          <w:sz w:val="30"/>
          <w:szCs w:val="30"/>
          <w:highlight w:val="none"/>
          <w:lang w:eastAsia="zh-CN"/>
        </w:rPr>
        <w:t>）产品包装材料归招标人所有。</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11.</w:t>
      </w:r>
      <w:r>
        <w:rPr>
          <w:rFonts w:hint="eastAsia" w:ascii="方正仿宋_GBK" w:hAnsi="方正仿宋_GBK" w:eastAsia="方正仿宋_GBK" w:cs="方正仿宋_GBK"/>
          <w:b/>
          <w:bCs/>
          <w:color w:val="auto"/>
          <w:sz w:val="30"/>
          <w:szCs w:val="30"/>
          <w:highlight w:val="none"/>
          <w:lang w:eastAsia="zh-CN"/>
        </w:rPr>
        <w:t>售后服务：</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（2）有效期管理</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送院耗材为一年内生产且剩余有效期不得少于总效期的2/3，有效期内若出现破损、变质、发霉、异物等质量问题，投标人应无条件更换；有效期剩余30天内的产品，投标人应无条件免费更换。因产品质量问题导致医疗纠纷的赔偿、行政处罚等由投标人承担并先行垫付。</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3</w:t>
      </w:r>
      <w:r>
        <w:rPr>
          <w:rFonts w:hint="eastAsia" w:ascii="方正仿宋_GBK" w:hAnsi="方正仿宋_GBK" w:eastAsia="方正仿宋_GBK" w:cs="方正仿宋_GBK"/>
          <w:color w:val="auto"/>
          <w:sz w:val="30"/>
          <w:szCs w:val="30"/>
          <w:highlight w:val="none"/>
          <w:lang w:eastAsia="zh-CN"/>
        </w:rPr>
        <w:t>）售后服务内容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②药交所最低成交价调整或</w:t>
      </w:r>
      <w:r>
        <w:rPr>
          <w:rFonts w:hint="eastAsia" w:ascii="方正仿宋_GBK" w:hAnsi="方正仿宋_GBK" w:eastAsia="方正仿宋_GBK" w:cs="方正仿宋_GBK"/>
          <w:sz w:val="30"/>
          <w:szCs w:val="30"/>
          <w:highlight w:val="none"/>
          <w:lang w:val="en-US" w:eastAsia="zh-CN"/>
        </w:rPr>
        <w:t>全市其他医疗机构线上备案采购采购产品价格下调应一周内书面通知采购人，按下调的价格结算单价合同。</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12.违约责任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 1000 元,产品质量争议采购人有权要求供应商承担第三方对争议产品的司法鉴定费用;违反最低价成交价承诺，如药交所最低成交价降价未在1周内书面通知，将承担违约金50000元，并按照最低成交价开始日期进行倒结算;</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的；④合同有效期内，未经招标人同意，供应商擅自转让债权变更收款公司信息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违约金的采购人有权要求供应商承担不低于合同结算总金额30%的违约金，有特殊约定的按照特殊约定执行。</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（4）合同履行期间发生争议，协商无果由重庆市璧山区人民法院裁决。</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pPr>
        <w:pStyle w:val="3"/>
        <w:ind w:firstLine="640" w:firstLineChars="200"/>
        <w:rPr>
          <w:rFonts w:hint="eastAsia"/>
          <w:lang w:val="zh-TW" w:eastAsia="zh-CN"/>
        </w:rPr>
      </w:pPr>
      <w:r>
        <w:rPr>
          <w:rFonts w:hint="eastAsia" w:ascii="方正仿宋_GBK" w:hAnsi="方正仿宋_GBK" w:eastAsia="方正仿宋_GBK" w:cs="方正仿宋_GBK"/>
          <w:color w:val="auto"/>
          <w:sz w:val="32"/>
          <w:szCs w:val="32"/>
          <w:lang w:val="en-US" w:eastAsia="zh-CN"/>
        </w:rPr>
        <w:t>d.产品需要冷链运输的，应具备相关资质或提供冷链运输企业的合作协议。</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2</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法定代表人身份证明</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（5）投标报价表（签字并加盖企业公章）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（6）项目一览表。（含所有产品及配件的规格、型号、生产厂家、品牌等）</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（7）提供每个产品注册证或备案证，以及每个产品在药交所官网截图，截图内容应一个产品一页，保障内容清晰。</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（8）技术参数差异对照表及商务需求差异对照表（技术参数须提供佐证材料，如参数性能彩页、第三方检验检测报告）。</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（9）最低价承诺。</w:t>
      </w:r>
      <w:r>
        <w:rPr>
          <w:rFonts w:hint="default" w:ascii="方正仿宋_GBK" w:hAnsi="方正仿宋_GBK" w:eastAsia="方正仿宋_GBK" w:cs="方正仿宋_GBK"/>
          <w:color w:val="auto"/>
          <w:sz w:val="30"/>
          <w:szCs w:val="30"/>
          <w:highlight w:val="none"/>
          <w:lang w:val="en-US" w:eastAsia="zh-CN"/>
        </w:rPr>
        <w:t>中选供应商应提供最低价承诺，确保采购人所购耗材价格属于药交所线上最低</w:t>
      </w:r>
      <w:r>
        <w:rPr>
          <w:rFonts w:hint="eastAsia" w:ascii="方正仿宋_GBK" w:hAnsi="方正仿宋_GBK" w:eastAsia="方正仿宋_GBK" w:cs="方正仿宋_GBK"/>
          <w:color w:val="auto"/>
          <w:sz w:val="30"/>
          <w:szCs w:val="30"/>
          <w:highlight w:val="none"/>
          <w:lang w:val="en-US" w:eastAsia="zh-CN"/>
        </w:rPr>
        <w:t>成交</w:t>
      </w:r>
      <w:r>
        <w:rPr>
          <w:rFonts w:hint="default" w:ascii="方正仿宋_GBK" w:hAnsi="方正仿宋_GBK" w:eastAsia="方正仿宋_GBK" w:cs="方正仿宋_GBK"/>
          <w:color w:val="auto"/>
          <w:sz w:val="30"/>
          <w:szCs w:val="30"/>
          <w:highlight w:val="none"/>
          <w:lang w:val="en-US" w:eastAsia="zh-CN"/>
        </w:rPr>
        <w:t>价，</w:t>
      </w:r>
      <w:r>
        <w:rPr>
          <w:rFonts w:hint="eastAsia" w:ascii="方正仿宋_GBK" w:hAnsi="方正仿宋_GBK" w:eastAsia="方正仿宋_GBK" w:cs="方正仿宋_GBK"/>
          <w:color w:val="auto"/>
          <w:sz w:val="30"/>
          <w:szCs w:val="30"/>
          <w:highlight w:val="none"/>
          <w:lang w:val="en-US" w:eastAsia="zh-CN"/>
        </w:rPr>
        <w:t>或者线上备案价格</w:t>
      </w:r>
      <w:r>
        <w:rPr>
          <w:rFonts w:hint="default" w:ascii="方正仿宋_GBK" w:hAnsi="方正仿宋_GBK" w:eastAsia="方正仿宋_GBK" w:cs="方正仿宋_GBK"/>
          <w:color w:val="auto"/>
          <w:sz w:val="30"/>
          <w:szCs w:val="30"/>
          <w:highlight w:val="none"/>
          <w:lang w:val="en-US" w:eastAsia="zh-CN"/>
        </w:rPr>
        <w:t>属于重庆地区最低成交价。产品价格变化后应立即（一周内）通知采购人进行价格变更</w:t>
      </w:r>
      <w:r>
        <w:rPr>
          <w:rFonts w:hint="eastAsia" w:ascii="方正仿宋_GBK" w:hAnsi="方正仿宋_GBK" w:eastAsia="方正仿宋_GBK" w:cs="方正仿宋_GBK"/>
          <w:color w:val="auto"/>
          <w:sz w:val="30"/>
          <w:szCs w:val="30"/>
          <w:highlight w:val="none"/>
          <w:lang w:val="en-US" w:eastAsia="zh-CN"/>
        </w:rPr>
        <w:t>，</w:t>
      </w:r>
      <w:r>
        <w:rPr>
          <w:rFonts w:hint="default" w:ascii="方正仿宋_GBK" w:hAnsi="方正仿宋_GBK" w:eastAsia="方正仿宋_GBK" w:cs="方正仿宋_GBK"/>
          <w:color w:val="auto"/>
          <w:sz w:val="30"/>
          <w:szCs w:val="30"/>
          <w:highlight w:val="none"/>
          <w:lang w:val="en-US" w:eastAsia="zh-CN"/>
        </w:rPr>
        <w:t>承诺函格式自拟。</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（11）供应商与其他单位的成交合同</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（13）采购人随时可要求供应商补充提供每个产品的其他相关资料，供应商应无条件支持和配合完成。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的投标响应文件交到璧山区人民医院采购办331办公室，收件人王老师，联系电话02341562788。超过投标时间递交投标响应文件的不予受理，通过快递方式邮件投标响应文件的，自行承担快递遗失和未按时递交风险。</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上备案采购价格差异较大的产品，由评标小组商议后决定执行线上采购或线上备案采购。合同签订前，采购人将对拟中选产品进行试用，确认投标产品质量及性能，试用未通过的将顺延下一顺序满足采购人要求的供应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五</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128229721"/>
      <w:bookmarkStart w:id="1" w:name="_Toc237057789"/>
      <w:bookmarkStart w:id="2" w:name="_Toc128229278"/>
      <w:bookmarkStart w:id="3" w:name="_Toc156196446"/>
      <w:bookmarkStart w:id="4" w:name="_Toc128014287"/>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王老师</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、供货时间：收到中标通知书后5天内。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8、</w:t>
      </w:r>
      <w:r>
        <w:rPr>
          <w:rFonts w:hint="eastAsia" w:ascii="方正仿宋_GBK" w:hAnsi="方正仿宋_GBK" w:eastAsia="方正仿宋_GBK" w:cs="方正仿宋_GBK"/>
          <w:color w:val="auto"/>
          <w:kern w:val="0"/>
          <w:sz w:val="32"/>
          <w:szCs w:val="32"/>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lang w:val="en-US" w:eastAsia="zh-CN"/>
        </w:rPr>
        <w:t>⑩</w:t>
      </w:r>
      <w:r>
        <w:rPr>
          <w:rFonts w:hint="eastAsia" w:ascii="方正仿宋_GBK" w:hAnsi="方正仿宋_GBK" w:eastAsia="方正仿宋_GBK" w:cs="方正仿宋_GBK"/>
          <w:color w:val="auto"/>
          <w:kern w:val="0"/>
          <w:sz w:val="32"/>
          <w:szCs w:val="32"/>
          <w:lang w:val="en-US" w:eastAsia="zh-CN"/>
        </w:rPr>
        <w:t>供应商响应文件内容有与国家现行法律法规相违背的内容，或附有采购人无法接受的条件。</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10、供应商有以下情形之一的，将纳入采购人不良行为记录，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kern w:val="0"/>
          <w:sz w:val="32"/>
          <w:szCs w:val="32"/>
          <w:lang w:val="en-US" w:eastAsia="zh-CN"/>
        </w:rPr>
      </w:pPr>
      <w:r>
        <w:rPr>
          <w:rFonts w:hint="eastAsia" w:ascii="方正仿宋_GBK" w:hAnsi="方正仿宋_GBK" w:eastAsia="方正仿宋_GBK" w:cs="方正仿宋_GBK"/>
          <w:b w:val="0"/>
          <w:bCs w:val="0"/>
          <w:color w:val="auto"/>
          <w:kern w:val="0"/>
          <w:sz w:val="32"/>
          <w:szCs w:val="32"/>
          <w:lang w:val="en-US" w:eastAsia="zh-CN"/>
        </w:rPr>
        <w:t>11、其他要求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default" w:ascii="方正仿宋_GBK" w:hAnsi="方正仿宋_GBK" w:eastAsia="方正仿宋_GBK" w:cs="方正仿宋_GBK"/>
          <w:color w:val="auto"/>
          <w:kern w:val="0"/>
          <w:sz w:val="32"/>
          <w:szCs w:val="32"/>
          <w:highlight w:val="yellow"/>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r>
        <w:rPr>
          <w:rFonts w:hint="eastAsia" w:ascii="方正仿宋_GBK" w:hAnsi="方正仿宋_GBK" w:eastAsia="方正仿宋_GBK" w:cs="方正仿宋_GBK"/>
          <w:b/>
          <w:bCs/>
          <w:color w:val="auto"/>
          <w:kern w:val="0"/>
          <w:sz w:val="32"/>
          <w:szCs w:val="32"/>
          <w:lang w:val="en-US" w:eastAsia="zh-CN"/>
        </w:rPr>
        <w:t>（</w:t>
      </w:r>
      <w:r>
        <w:rPr>
          <w:rFonts w:hint="eastAsia" w:ascii="方正仿宋_GBK" w:hAnsi="方正仿宋_GBK" w:eastAsia="方正仿宋_GBK" w:cs="方正仿宋_GBK"/>
          <w:b/>
          <w:bCs/>
          <w:color w:val="auto"/>
          <w:kern w:val="0"/>
          <w:sz w:val="32"/>
          <w:szCs w:val="32"/>
          <w:highlight w:val="yellow"/>
          <w:lang w:val="en-US" w:eastAsia="zh-CN"/>
        </w:rPr>
        <w:t>6）采购项目结果公示后，中选供应商应在2个工作日内将盖鲜章的全套响应文件扫描的电子档发到采购办邮箱，供采购人拟定合同，过期视为自动放弃中选资格。（7）采购人通知供应商补充提交资料应以2个工作日为限，过期未按采购人要求提交资料的视为自动放弃中选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pPr>
        <w:autoSpaceDE w:val="0"/>
        <w:autoSpaceDN w:val="0"/>
        <w:adjustRightInd w:val="0"/>
        <w:snapToGrid w:val="0"/>
        <w:spacing w:line="360" w:lineRule="auto"/>
        <w:rPr>
          <w:rFonts w:ascii="仿宋_GB2312" w:eastAsia="仿宋_GB2312"/>
          <w:sz w:val="24"/>
          <w:lang w:val="zh-CN"/>
        </w:rPr>
      </w:pPr>
    </w:p>
    <w:p>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3.</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3.1总报价表.......................................................................................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3.2分项报价表.....................................................................................</w:t>
      </w:r>
    </w:p>
    <w:p>
      <w:pPr>
        <w:jc w:val="center"/>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3.3</w:t>
      </w:r>
      <w:r>
        <w:rPr>
          <w:rFonts w:hint="eastAsia" w:ascii="仿宋_GB2312" w:hAnsi="宋体" w:eastAsia="仿宋_GB2312" w:cs="宋体"/>
          <w:b w:val="0"/>
          <w:bCs w:val="0"/>
          <w:color w:val="auto"/>
          <w:sz w:val="28"/>
          <w:szCs w:val="21"/>
          <w:highlight w:val="yellow"/>
          <w:lang w:val="en-US" w:eastAsia="zh-CN"/>
        </w:rPr>
        <w:t>最低价销售和保障供应承诺</w:t>
      </w:r>
      <w:r>
        <w:rPr>
          <w:rFonts w:hint="eastAsia" w:ascii="仿宋_GB2312" w:hAnsi="宋体" w:eastAsia="仿宋_GB2312" w:cs="宋体"/>
          <w:b/>
          <w:bCs/>
          <w:color w:val="auto"/>
          <w:sz w:val="28"/>
          <w:szCs w:val="21"/>
          <w:lang w:val="en-US" w:eastAsia="zh-CN"/>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5.每个投标产品药交所挂网截图和产品的注册证或备案证（资料清晰）....</w:t>
      </w:r>
    </w:p>
    <w:p>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6.技术参数差异对照表和商务需求差异对照表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kern w:val="2"/>
          <w:sz w:val="30"/>
          <w:szCs w:val="30"/>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7.不得高于药交所最低成交价和线上备案采购此耗材最低价承诺..........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8.售后服务承诺.......................................................................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9.其他单位采购合同等....................................................................</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10.投标廉政承诺书........................................................................</w:t>
      </w:r>
    </w:p>
    <w:p>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11.医用耗材合同信息表..................................................................</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sz w:val="30"/>
          <w:szCs w:val="30"/>
          <w:highlight w:val="none"/>
          <w:lang w:val="en-US" w:eastAsia="zh-CN"/>
        </w:rPr>
        <w:t>一、供应商基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二、供应商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三、总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四、产品信息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五、提供每个产品的注册证或备案证，以及其在重庆市药交所产品信息查询截图，图片内容应清晰。</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sz w:val="30"/>
          <w:szCs w:val="30"/>
          <w:highlight w:val="none"/>
          <w:lang w:val="en-US" w:eastAsia="zh-CN"/>
        </w:rPr>
        <w:t>。</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六、不得高于药交所最低成交价和重庆地区线上备案采购最低价承诺。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七、售后服务承诺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八、其他单位采购业绩合同等</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九、投标廉政承诺书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十、医用耗材合同信息表</w:t>
      </w:r>
    </w:p>
    <w:p>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pPr>
        <w:ind w:firstLine="640" w:firstLineChars="200"/>
        <w:rPr>
          <w:rFonts w:hint="eastAsia" w:ascii="方正仿宋_GBK" w:hAnsi="方正仿宋_GBK" w:eastAsia="方正仿宋_GBK" w:cs="方正仿宋_GBK"/>
          <w:sz w:val="32"/>
          <w:szCs w:val="32"/>
        </w:rPr>
      </w:pP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56196559"/>
      <w:bookmarkStart w:id="6" w:name="_Toc173677397"/>
      <w:bookmarkStart w:id="7" w:name="_Toc128229302"/>
      <w:bookmarkStart w:id="8" w:name="_Toc166139912"/>
      <w:bookmarkStart w:id="9" w:name="_Toc175017342"/>
      <w:bookmarkStart w:id="10" w:name="_Toc156730450"/>
      <w:bookmarkStart w:id="11" w:name="_Toc128229916"/>
      <w:bookmarkStart w:id="12" w:name="_Toc156815770"/>
      <w:bookmarkStart w:id="13" w:name="_Toc156196470"/>
      <w:bookmarkStart w:id="14" w:name="_Toc166549448"/>
      <w:bookmarkStart w:id="15" w:name="_Toc128229745"/>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28229303"/>
      <w:bookmarkStart w:id="17" w:name="_Toc175017343"/>
      <w:bookmarkStart w:id="18" w:name="_Toc166139913"/>
      <w:bookmarkStart w:id="19" w:name="_Toc156815771"/>
      <w:bookmarkStart w:id="20" w:name="_Toc166549449"/>
      <w:bookmarkStart w:id="21" w:name="_Toc128229917"/>
      <w:bookmarkStart w:id="22" w:name="_Toc128229746"/>
      <w:bookmarkStart w:id="23" w:name="_Toc173677398"/>
      <w:bookmarkStart w:id="24" w:name="_Toc156730451"/>
      <w:bookmarkStart w:id="25" w:name="_Toc156196560"/>
      <w:bookmarkStart w:id="26" w:name="_Toc156196471"/>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175017344"/>
      <w:bookmarkStart w:id="28" w:name="_Toc128229747"/>
      <w:bookmarkStart w:id="29" w:name="_Toc156196472"/>
      <w:bookmarkStart w:id="30" w:name="_Toc237057793"/>
      <w:bookmarkStart w:id="31" w:name="_Toc128014297"/>
      <w:bookmarkStart w:id="32" w:name="_Toc173677399"/>
      <w:bookmarkStart w:id="33" w:name="_Toc128229304"/>
    </w:p>
    <w:p>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pPr>
        <w:pStyle w:val="19"/>
        <w:numPr>
          <w:ilvl w:val="0"/>
          <w:numId w:val="0"/>
        </w:numPr>
        <w:tabs>
          <w:tab w:val="clear" w:pos="3600"/>
        </w:tabs>
        <w:ind w:left="2880" w:leftChars="0"/>
        <w:rPr>
          <w:rFonts w:hint="eastAsia"/>
        </w:rPr>
      </w:pPr>
    </w:p>
    <w:p>
      <w:pPr>
        <w:rPr>
          <w:rFonts w:hint="eastAsia"/>
        </w:rPr>
      </w:pP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276"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品牌型号</w:t>
            </w:r>
          </w:p>
        </w:tc>
        <w:tc>
          <w:tcPr>
            <w:tcW w:w="1658"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填报</w:t>
            </w:r>
            <w:r>
              <w:rPr>
                <w:rFonts w:hint="eastAsia" w:ascii="微软雅黑" w:hAnsi="微软雅黑" w:eastAsia="微软雅黑" w:cs="微软雅黑"/>
                <w:b/>
                <w:sz w:val="24"/>
                <w:szCs w:val="24"/>
              </w:rPr>
              <w:t>单价</w:t>
            </w:r>
          </w:p>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采购方式（选填线上采购集采或线上采购非集采或线上备案采购）</w:t>
            </w:r>
          </w:p>
        </w:tc>
        <w:tc>
          <w:tcPr>
            <w:tcW w:w="127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w:t>
            </w:r>
          </w:p>
        </w:tc>
        <w:tc>
          <w:tcPr>
            <w:tcW w:w="1543" w:type="dxa"/>
            <w:noWrap w:val="0"/>
            <w:vAlign w:val="center"/>
          </w:tcPr>
          <w:p>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pPr>
              <w:spacing w:line="300" w:lineRule="exact"/>
              <w:rPr>
                <w:rFonts w:ascii="微软雅黑" w:hAnsi="微软雅黑" w:eastAsia="微软雅黑" w:cs="微软雅黑"/>
                <w:sz w:val="24"/>
                <w:szCs w:val="24"/>
              </w:rPr>
            </w:pPr>
          </w:p>
        </w:tc>
        <w:tc>
          <w:tcPr>
            <w:tcW w:w="6945" w:type="dxa"/>
            <w:gridSpan w:val="5"/>
            <w:noWrap w:val="0"/>
            <w:vAlign w:val="center"/>
          </w:tcPr>
          <w:p>
            <w:pPr>
              <w:spacing w:line="300" w:lineRule="exact"/>
              <w:rPr>
                <w:rFonts w:ascii="微软雅黑" w:hAnsi="微软雅黑" w:eastAsia="微软雅黑" w:cs="微软雅黑"/>
                <w:sz w:val="24"/>
                <w:szCs w:val="24"/>
              </w:rPr>
            </w:pPr>
          </w:p>
        </w:tc>
      </w:tr>
    </w:tbl>
    <w:p>
      <w:pPr>
        <w:snapToGrid w:val="0"/>
        <w:spacing w:line="600" w:lineRule="exact"/>
        <w:ind w:firstLine="900"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w:t>
      </w:r>
      <w:r>
        <w:rPr>
          <w:rFonts w:hint="eastAsia" w:ascii="微软雅黑" w:hAnsi="微软雅黑" w:eastAsia="微软雅黑" w:cs="微软雅黑"/>
          <w:sz w:val="30"/>
          <w:szCs w:val="30"/>
          <w:lang w:val="en-US" w:eastAsia="zh-CN"/>
        </w:rPr>
        <w:t>1.</w:t>
      </w:r>
      <w:r>
        <w:rPr>
          <w:rFonts w:hint="eastAsia" w:ascii="微软雅黑" w:hAnsi="微软雅黑" w:eastAsia="微软雅黑" w:cs="微软雅黑"/>
          <w:sz w:val="30"/>
          <w:szCs w:val="30"/>
        </w:rPr>
        <w:t>本表可根据项目实际情况调整，并逐页盖章；</w:t>
      </w:r>
    </w:p>
    <w:p>
      <w:pPr>
        <w:numPr>
          <w:ilvl w:val="0"/>
          <w:numId w:val="3"/>
        </w:numPr>
        <w:snapToGrid w:val="0"/>
        <w:spacing w:line="600" w:lineRule="exact"/>
        <w:ind w:firstLine="1800" w:firstLineChars="600"/>
        <w:rPr>
          <w:rFonts w:hint="eastAsia"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采购方式处选择”药交所线上采购集采“”药交所线上采购非集采“或”药交所线上备案采购“，否则视为无效响应。</w:t>
      </w:r>
    </w:p>
    <w:p>
      <w:pPr>
        <w:numPr>
          <w:ilvl w:val="0"/>
          <w:numId w:val="3"/>
        </w:numPr>
        <w:snapToGrid w:val="0"/>
        <w:spacing w:line="600" w:lineRule="exact"/>
        <w:ind w:firstLine="1800" w:firstLineChars="600"/>
        <w:rPr>
          <w:rFonts w:hint="default"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每个产品单价最多只能保留2位小数点。</w:t>
      </w:r>
    </w:p>
    <w:p>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pPr>
        <w:rPr>
          <w:rFonts w:ascii="仿宋_GB2312" w:hAnsi="宋体" w:eastAsia="仿宋_GB2312" w:cs="宋体"/>
          <w:b/>
          <w:bCs/>
          <w:color w:val="auto"/>
          <w:sz w:val="28"/>
          <w:szCs w:val="21"/>
          <w:lang w:val="zh-CN"/>
        </w:rPr>
      </w:pPr>
      <w:r>
        <w:rPr>
          <w:rFonts w:ascii="仿宋_GB2312" w:hAnsi="宋体" w:eastAsia="仿宋_GB2312" w:cs="宋体"/>
          <w:b/>
          <w:bCs/>
          <w:color w:val="auto"/>
          <w:sz w:val="28"/>
          <w:szCs w:val="21"/>
          <w:lang w:val="zh-CN"/>
        </w:rPr>
        <w:br w:type="page"/>
      </w:r>
    </w:p>
    <w:p>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最低价销售和保障供应承诺</w:t>
      </w:r>
    </w:p>
    <w:p>
      <w:pPr>
        <w:rPr>
          <w:rFonts w:hint="eastAsia" w:ascii="仿宋_GB2312" w:hAnsi="宋体" w:eastAsia="仿宋_GB2312" w:cs="宋体"/>
          <w:b/>
          <w:bCs/>
          <w:color w:val="auto"/>
          <w:sz w:val="28"/>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1.此次投标产品报价为重庆市药交所线上的最低价，线上备案价格为重庆市药交所线上备案的最低价，在采购周期内若药交所线上最低价或药剂所线上备案最低价出现更低价，主动向采购人申报并同步降价。2.在合同期内，提前预判市场供应情况并做好相应预案，稳定持续保障采购人的用量需求，特别是爆发公共卫生事件等紧急情况。承诺有效期与合同期限一致。如违背承诺，本公司自愿放弃合同履约保证金，同时按照合同约定支付违约金，2年内不再参与采购人的采购招标活动。</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kern w:val="0"/>
          <w:sz w:val="24"/>
          <w:szCs w:val="24"/>
          <w:lang w:val="en-US" w:eastAsia="zh-CN"/>
        </w:rPr>
        <w:t>（填写前请仔细阅读以下内容）</w:t>
      </w:r>
      <w:r>
        <w:rPr>
          <w:rFonts w:hint="eastAsia" w:ascii="方正仿宋_GBK" w:hAnsi="方正仿宋_GBK" w:eastAsia="方正仿宋_GBK" w:cs="方正仿宋_GBK"/>
          <w:b w:val="0"/>
          <w:bCs/>
          <w:color w:val="auto"/>
          <w:sz w:val="24"/>
          <w:szCs w:val="24"/>
        </w:rPr>
        <w:t>：</w:t>
      </w:r>
    </w:p>
    <w:p>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或新增采购人未招采的型号</w:t>
      </w:r>
      <w:r>
        <w:rPr>
          <w:rFonts w:hint="eastAsia" w:ascii="方正仿宋_GBK" w:hAnsi="方正仿宋_GBK" w:eastAsia="方正仿宋_GBK" w:cs="方正仿宋_GBK"/>
          <w:b w:val="0"/>
          <w:bCs/>
          <w:color w:val="auto"/>
          <w:kern w:val="0"/>
          <w:sz w:val="24"/>
          <w:szCs w:val="24"/>
        </w:rPr>
        <w:t>；</w:t>
      </w:r>
    </w:p>
    <w:p>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供应商中选后将此表电子档单独发到采购办邮箱。</w:t>
      </w:r>
    </w:p>
    <w:p>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药交所线上最低成交价不是药交所挂网价，需要通过生产厂家了解药交所最低成交价。</w:t>
      </w:r>
    </w:p>
    <w:p>
      <w:pPr>
        <w:pStyle w:val="2"/>
        <w:tabs>
          <w:tab w:val="left" w:pos="720"/>
        </w:tabs>
        <w:adjustRightInd w:val="0"/>
        <w:snapToGrid w:val="0"/>
        <w:spacing w:line="360" w:lineRule="auto"/>
        <w:ind w:left="720"/>
        <w:rPr>
          <w:rFonts w:hint="eastAsia"/>
          <w:color w:val="auto"/>
        </w:rPr>
      </w:pPr>
    </w:p>
    <w:p>
      <w:pPr>
        <w:rPr>
          <w:rFonts w:hint="eastAsia"/>
          <w:color w:val="auto"/>
        </w:rPr>
      </w:pPr>
    </w:p>
    <w:p>
      <w:pPr>
        <w:rPr>
          <w:rFonts w:hint="eastAsia"/>
          <w:color w:val="auto"/>
        </w:rPr>
      </w:pPr>
    </w:p>
    <w:p>
      <w:pPr>
        <w:rPr>
          <w:rFonts w:hint="eastAsia"/>
          <w:color w:val="auto"/>
        </w:rPr>
      </w:pPr>
    </w:p>
    <w:p>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填写说明（填写前请仔细阅读以下内容）：</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1.该表为线上备案采购产品必填表，填写后须将Excel表格发送至采购办邮箱bsrmyycgb@163.com，如所投产品是线上集采或非集采可以不用填写此表；</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r>
        <w:rPr>
          <w:rFonts w:hint="eastAsia" w:ascii="方正仿宋_GBK" w:hAnsi="方正仿宋_GBK" w:eastAsia="方正仿宋_GBK" w:cs="方正仿宋_GBK"/>
          <w:b w:val="0"/>
          <w:bCs/>
          <w:color w:val="auto"/>
          <w:kern w:val="0"/>
          <w:sz w:val="24"/>
          <w:szCs w:val="24"/>
          <w:highlight w:val="yellow"/>
          <w:lang w:val="en-US" w:eastAsia="zh-CN"/>
        </w:rPr>
        <w:t>其中</w:t>
      </w:r>
      <w:r>
        <w:rPr>
          <w:rFonts w:hint="eastAsia" w:ascii="宋体" w:hAnsi="宋体" w:eastAsia="宋体" w:cs="宋体"/>
          <w:i w:val="0"/>
          <w:iCs w:val="0"/>
          <w:color w:val="FF0000"/>
          <w:kern w:val="0"/>
          <w:sz w:val="24"/>
          <w:szCs w:val="24"/>
          <w:highlight w:val="yellow"/>
          <w:u w:val="none"/>
          <w:lang w:val="en-US" w:eastAsia="zh-CN" w:bidi="ar"/>
        </w:rPr>
        <w:t>备案原因</w:t>
      </w:r>
      <w:r>
        <w:rPr>
          <w:rFonts w:hint="eastAsia" w:ascii="宋体" w:hAnsi="宋体" w:cs="宋体"/>
          <w:i w:val="0"/>
          <w:iCs w:val="0"/>
          <w:color w:val="FF0000"/>
          <w:kern w:val="0"/>
          <w:sz w:val="24"/>
          <w:szCs w:val="24"/>
          <w:highlight w:val="yellow"/>
          <w:u w:val="none"/>
          <w:lang w:val="en-US" w:eastAsia="zh-CN" w:bidi="ar"/>
        </w:rPr>
        <w:t>，只能选择“供货价低于药交所最低成交价”和“产品未挂药交所系统”</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pPr>
        <w:snapToGrid w:val="0"/>
        <w:spacing w:line="400" w:lineRule="exact"/>
        <w:ind w:firstLine="676"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技术</w:t>
      </w:r>
      <w:r>
        <w:rPr>
          <w:rFonts w:hint="eastAsia" w:ascii="宋体" w:hAnsi="宋体" w:cs="宋体"/>
          <w:b/>
          <w:bCs/>
          <w:color w:val="000000"/>
          <w:sz w:val="36"/>
          <w:szCs w:val="40"/>
          <w:lang w:val="en-US" w:eastAsia="zh-CN"/>
        </w:rPr>
        <w:t>参数</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c>
          <w:tcPr>
            <w:tcW w:w="805"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rPr>
        <w:t>注：</w:t>
      </w:r>
      <w:r>
        <w:rPr>
          <w:rFonts w:hint="eastAsia" w:ascii="宋体" w:hAnsi="宋体" w:cs="宋体"/>
          <w:color w:val="000000"/>
          <w:sz w:val="24"/>
          <w:szCs w:val="24"/>
        </w:rPr>
        <w:t>1.本表即为对本项目“</w:t>
      </w:r>
      <w:r>
        <w:rPr>
          <w:rFonts w:hint="eastAsia" w:ascii="宋体" w:hAnsi="宋体" w:cs="宋体"/>
          <w:color w:val="000000"/>
          <w:sz w:val="24"/>
          <w:szCs w:val="24"/>
          <w:lang w:val="en-US" w:eastAsia="zh-CN"/>
        </w:rPr>
        <w:t>一、需求</w:t>
      </w:r>
      <w:r>
        <w:rPr>
          <w:rFonts w:hint="eastAsia" w:ascii="宋体" w:hAnsi="宋体" w:cs="宋体"/>
          <w:color w:val="000000"/>
          <w:sz w:val="24"/>
          <w:szCs w:val="24"/>
        </w:rPr>
        <w:t>项目</w:t>
      </w:r>
      <w:r>
        <w:rPr>
          <w:rFonts w:hint="eastAsia" w:ascii="宋体" w:hAnsi="宋体" w:cs="宋体"/>
          <w:color w:val="000000"/>
          <w:sz w:val="24"/>
          <w:szCs w:val="24"/>
          <w:lang w:val="en-US" w:eastAsia="zh-CN"/>
        </w:rPr>
        <w:t>基本信息</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szCs w:val="24"/>
        </w:rPr>
        <w:t>3.</w:t>
      </w:r>
      <w:r>
        <w:rPr>
          <w:rFonts w:hint="eastAsia" w:ascii="宋体" w:hAnsi="宋体" w:cs="宋体"/>
          <w:color w:val="000000"/>
          <w:sz w:val="24"/>
          <w:szCs w:val="24"/>
          <w:lang w:val="en-US" w:eastAsia="zh-CN"/>
        </w:rPr>
        <w:t>响应情况</w:t>
      </w:r>
      <w:r>
        <w:rPr>
          <w:rFonts w:hint="eastAsia" w:ascii="宋体" w:hAnsi="宋体" w:cs="宋体"/>
          <w:color w:val="000000"/>
          <w:sz w:val="24"/>
          <w:szCs w:val="24"/>
        </w:rPr>
        <w:t>栏中应当注明技术参数或具体内容。表中必须标注技术参数或具体内容在竞选文件中的位置（页码）</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无佐证材料视为无效响应</w:t>
      </w:r>
      <w:r>
        <w:rPr>
          <w:rFonts w:hint="eastAsia" w:ascii="宋体" w:hAnsi="宋体" w:cs="宋体"/>
          <w:color w:val="000000"/>
          <w:sz w:val="24"/>
          <w:szCs w:val="24"/>
        </w:rPr>
        <w:t>。</w:t>
      </w:r>
    </w:p>
    <w:p>
      <w:pPr>
        <w:keepNext/>
        <w:keepLines/>
        <w:adjustRightInd w:val="0"/>
        <w:snapToGrid w:val="0"/>
        <w:spacing w:line="400" w:lineRule="atLeast"/>
        <w:ind w:firstLine="436"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pPr>
        <w:snapToGrid w:val="0"/>
        <w:spacing w:line="400" w:lineRule="exact"/>
        <w:ind w:firstLine="436" w:firstLineChars="200"/>
        <w:rPr>
          <w:rFonts w:hint="default" w:ascii="宋体" w:hAnsi="宋体" w:eastAsia="宋体" w:cs="宋体"/>
          <w:color w:val="000000"/>
          <w:sz w:val="24"/>
          <w:szCs w:val="28"/>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宋体" w:hAnsi="宋体" w:cs="宋体"/>
          <w:color w:val="000000"/>
          <w:sz w:val="24"/>
          <w:szCs w:val="28"/>
          <w:lang w:val="en-US" w:eastAsia="zh-CN"/>
        </w:rPr>
        <w:t>5.</w:t>
      </w:r>
      <w:r>
        <w:rPr>
          <w:rFonts w:hint="eastAsia" w:ascii="宋体" w:hAnsi="宋体" w:cs="宋体"/>
          <w:color w:val="000000"/>
          <w:sz w:val="24"/>
          <w:szCs w:val="24"/>
          <w:highlight w:val="yellow"/>
        </w:rPr>
        <w:t>提醒：</w:t>
      </w:r>
      <w:r>
        <w:rPr>
          <w:rFonts w:hint="eastAsia" w:ascii="宋体" w:hAnsi="宋体" w:cs="宋体"/>
          <w:color w:val="000000"/>
          <w:sz w:val="24"/>
          <w:szCs w:val="24"/>
          <w:lang w:val="en-US" w:eastAsia="zh-CN"/>
        </w:rPr>
        <w:t>响应情况处</w:t>
      </w:r>
      <w:r>
        <w:rPr>
          <w:rFonts w:hint="eastAsia" w:ascii="宋体" w:hAnsi="宋体" w:cs="宋体"/>
          <w:color w:val="000000"/>
          <w:sz w:val="24"/>
          <w:szCs w:val="24"/>
          <w:highlight w:val="yellow"/>
        </w:rPr>
        <w:t>请注明</w:t>
      </w:r>
      <w:r>
        <w:rPr>
          <w:rFonts w:hint="eastAsia" w:ascii="宋体" w:hAnsi="宋体" w:cs="宋体"/>
          <w:color w:val="000000"/>
          <w:sz w:val="24"/>
          <w:szCs w:val="24"/>
          <w:highlight w:val="yellow"/>
          <w:lang w:val="en-US" w:eastAsia="zh-CN"/>
        </w:rPr>
        <w:t>产品</w:t>
      </w:r>
      <w:r>
        <w:rPr>
          <w:rFonts w:hint="eastAsia" w:ascii="宋体" w:hAnsi="宋体" w:cs="宋体"/>
          <w:color w:val="000000"/>
          <w:sz w:val="24"/>
          <w:szCs w:val="24"/>
          <w:highlight w:val="yellow"/>
        </w:rPr>
        <w:t>自身技术参数或具体内容，不得照搬参数需求</w:t>
      </w:r>
      <w:r>
        <w:rPr>
          <w:rFonts w:hint="eastAsia" w:ascii="宋体" w:hAnsi="宋体" w:cs="宋体"/>
          <w:color w:val="000000"/>
          <w:sz w:val="24"/>
          <w:szCs w:val="24"/>
          <w:highlight w:val="yellow"/>
          <w:lang w:val="en-US" w:eastAsia="zh-CN"/>
        </w:rPr>
        <w:t>内容</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r>
        <w:rPr>
          <w:rFonts w:hint="eastAsia" w:ascii="宋体" w:hAnsi="宋体" w:cs="宋体"/>
          <w:color w:val="000000"/>
          <w:sz w:val="24"/>
          <w:szCs w:val="24"/>
          <w:lang w:val="en-US" w:eastAsia="zh-CN"/>
        </w:rPr>
        <w:t>处</w:t>
      </w:r>
      <w:r>
        <w:rPr>
          <w:rFonts w:hint="eastAsia" w:ascii="宋体" w:hAnsi="宋体" w:cs="宋体"/>
          <w:color w:val="000000"/>
          <w:sz w:val="24"/>
          <w:szCs w:val="24"/>
          <w:highlight w:val="yellow"/>
          <w:lang w:val="en-US" w:eastAsia="zh-CN"/>
        </w:rPr>
        <w:t>对应页码的对应位置应用下划线标注出来</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8"/>
          <w:lang w:val="en-US" w:eastAsia="zh-CN"/>
        </w:rPr>
        <w:t>未按要求提交表格的符合性审查将不予通过。</w:t>
      </w:r>
    </w:p>
    <w:p>
      <w:pPr>
        <w:snapToGrid w:val="0"/>
        <w:spacing w:line="400" w:lineRule="exact"/>
        <w:ind w:firstLine="723"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商务</w:t>
      </w:r>
      <w:r>
        <w:rPr>
          <w:rFonts w:hint="eastAsia" w:ascii="宋体" w:hAnsi="宋体" w:cs="宋体"/>
          <w:b/>
          <w:bCs/>
          <w:color w:val="000000"/>
          <w:sz w:val="36"/>
          <w:szCs w:val="40"/>
          <w:lang w:val="en-US" w:eastAsia="zh-CN"/>
        </w:rPr>
        <w:t>需求</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w:t>
            </w:r>
          </w:p>
        </w:tc>
        <w:tc>
          <w:tcPr>
            <w:tcW w:w="1479"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w:t>
      </w:r>
      <w:r>
        <w:rPr>
          <w:rFonts w:hint="eastAsia" w:ascii="宋体" w:hAnsi="宋体" w:cs="宋体"/>
          <w:color w:val="000000"/>
          <w:sz w:val="24"/>
          <w:szCs w:val="24"/>
          <w:lang w:val="en-US" w:eastAsia="zh-CN"/>
        </w:rPr>
        <w:t>二、商务需求</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pPr>
        <w:keepNext/>
        <w:keepLines/>
        <w:adjustRightInd w:val="0"/>
        <w:snapToGrid w:val="0"/>
        <w:spacing w:line="400" w:lineRule="atLeast"/>
        <w:ind w:firstLine="480" w:firstLineChars="200"/>
        <w:rPr>
          <w:rFonts w:hint="eastAsia" w:ascii="宋体" w:hAnsi="宋体" w:cs="宋体"/>
          <w:color w:val="000000"/>
          <w:sz w:val="24"/>
          <w:szCs w:val="24"/>
        </w:rPr>
      </w:pPr>
      <w:r>
        <w:rPr>
          <w:rFonts w:hint="eastAsia" w:ascii="宋体" w:hAnsi="宋体" w:cs="宋体"/>
          <w:color w:val="000000"/>
          <w:sz w:val="24"/>
          <w:szCs w:val="24"/>
        </w:rPr>
        <w:t>4.偏离情况请填写“无偏离”、“正偏离”或“负偏离”。</w:t>
      </w:r>
    </w:p>
    <w:p>
      <w:pPr>
        <w:keepNext/>
        <w:keepLines/>
        <w:adjustRightInd w:val="0"/>
        <w:snapToGrid w:val="0"/>
        <w:spacing w:line="400" w:lineRule="atLeast"/>
        <w:ind w:firstLine="480" w:firstLineChars="200"/>
        <w:rPr>
          <w:rFonts w:hint="eastAsia" w:ascii="宋体" w:hAnsi="宋体" w:cs="宋体"/>
          <w:color w:val="000000"/>
          <w:sz w:val="24"/>
          <w:szCs w:val="24"/>
        </w:rPr>
      </w:pPr>
      <w:r>
        <w:rPr>
          <w:rFonts w:hint="eastAsia" w:ascii="宋体" w:hAnsi="宋体" w:cs="宋体"/>
          <w:color w:val="000000"/>
          <w:sz w:val="24"/>
          <w:szCs w:val="28"/>
          <w:lang w:val="en-US" w:eastAsia="zh-CN"/>
        </w:rPr>
        <w:t>5.</w:t>
      </w:r>
      <w:r>
        <w:rPr>
          <w:rFonts w:hint="eastAsia" w:ascii="宋体" w:hAnsi="宋体" w:cs="宋体"/>
          <w:color w:val="000000"/>
          <w:sz w:val="24"/>
          <w:szCs w:val="24"/>
          <w:highlight w:val="yellow"/>
        </w:rPr>
        <w:t>提醒：</w:t>
      </w:r>
      <w:r>
        <w:rPr>
          <w:rFonts w:hint="eastAsia" w:ascii="宋体" w:hAnsi="宋体" w:cs="宋体"/>
          <w:color w:val="000000"/>
          <w:sz w:val="24"/>
          <w:szCs w:val="24"/>
          <w:lang w:val="en-US" w:eastAsia="zh-CN"/>
        </w:rPr>
        <w:t>响应情况处</w:t>
      </w:r>
      <w:r>
        <w:rPr>
          <w:rFonts w:hint="eastAsia" w:ascii="宋体" w:hAnsi="宋体" w:cs="宋体"/>
          <w:color w:val="000000"/>
          <w:sz w:val="24"/>
          <w:szCs w:val="24"/>
          <w:highlight w:val="yellow"/>
        </w:rPr>
        <w:t>请注明</w:t>
      </w:r>
      <w:r>
        <w:rPr>
          <w:rFonts w:hint="eastAsia" w:ascii="宋体" w:hAnsi="宋体" w:cs="宋体"/>
          <w:color w:val="000000"/>
          <w:sz w:val="24"/>
          <w:szCs w:val="24"/>
          <w:highlight w:val="yellow"/>
          <w:lang w:val="en-US" w:eastAsia="zh-CN"/>
        </w:rPr>
        <w:t>产品</w:t>
      </w:r>
      <w:r>
        <w:rPr>
          <w:rFonts w:hint="eastAsia" w:ascii="宋体" w:hAnsi="宋体" w:cs="宋体"/>
          <w:color w:val="000000"/>
          <w:sz w:val="24"/>
          <w:szCs w:val="24"/>
          <w:highlight w:val="yellow"/>
        </w:rPr>
        <w:t>自身技术参数或具体内容，不得照搬参数需求</w:t>
      </w:r>
      <w:r>
        <w:rPr>
          <w:rFonts w:hint="eastAsia" w:ascii="宋体" w:hAnsi="宋体" w:cs="宋体"/>
          <w:color w:val="000000"/>
          <w:sz w:val="24"/>
          <w:szCs w:val="24"/>
          <w:highlight w:val="yellow"/>
          <w:lang w:val="en-US" w:eastAsia="zh-CN"/>
        </w:rPr>
        <w:t>内容</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8"/>
          <w:lang w:val="en-US" w:eastAsia="zh-CN"/>
        </w:rPr>
        <w:t>未按要求提交表格的符合性审查将不予通过。</w:t>
      </w:r>
    </w:p>
    <w:p>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pPr>
        <w:pStyle w:val="2"/>
        <w:tabs>
          <w:tab w:val="left" w:pos="720"/>
        </w:tabs>
        <w:adjustRightInd w:val="0"/>
        <w:snapToGrid w:val="0"/>
        <w:spacing w:line="360" w:lineRule="auto"/>
        <w:ind w:left="720"/>
        <w:rPr>
          <w:rFonts w:hint="default" w:eastAsia="仿宋_GB2312"/>
          <w:color w:val="auto"/>
          <w:lang w:val="en-US" w:eastAsia="zh-CN"/>
        </w:rPr>
      </w:pPr>
    </w:p>
    <w:p>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pPr>
        <w:tabs>
          <w:tab w:val="left" w:pos="6300"/>
        </w:tabs>
        <w:adjustRightInd w:val="0"/>
        <w:snapToGrid w:val="0"/>
        <w:spacing w:line="360" w:lineRule="auto"/>
        <w:rPr>
          <w:rFonts w:ascii="仿宋" w:hAnsi="仿宋" w:eastAsia="仿宋"/>
          <w:b/>
          <w:snapToGrid w:val="0"/>
          <w:color w:val="auto"/>
          <w:kern w:val="0"/>
          <w:sz w:val="28"/>
          <w:szCs w:val="28"/>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p>
    <w:p>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Times New Roman"/>
          <w:kern w:val="2"/>
          <w:sz w:val="24"/>
          <w:szCs w:val="22"/>
          <w:lang w:val="en-US" w:eastAsia="zh-CN" w:bidi="ar-SA"/>
        </w:rPr>
        <w:t xml:space="preserve">                年   月   日</w:t>
      </w:r>
    </w:p>
    <w:p>
      <w:pPr>
        <w:widowControl/>
        <w:jc w:val="center"/>
        <w:rPr>
          <w:rFonts w:ascii="宋体" w:hAnsi="宋体" w:cs="宋体"/>
          <w:b/>
          <w:bCs/>
          <w:kern w:val="0"/>
          <w:sz w:val="32"/>
          <w:szCs w:val="32"/>
        </w:rPr>
      </w:pPr>
      <w:r>
        <w:rPr>
          <w:rFonts w:hint="eastAsia" w:ascii="仿宋_GB2312" w:hAnsi="宋体" w:eastAsia="仿宋_GB2312" w:cs="Times New Roman"/>
          <w:kern w:val="2"/>
          <w:sz w:val="24"/>
          <w:szCs w:val="22"/>
          <w:lang w:val="en-US" w:eastAsia="zh-CN" w:bidi="ar-SA"/>
        </w:rPr>
        <w:br w:type="page"/>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permEnd w:id="0"/>
    <w:tbl>
      <w:tblPr>
        <w:tblStyle w:val="9"/>
        <w:tblW w:w="11312" w:type="dxa"/>
        <w:jc w:val="center"/>
        <w:tblLayout w:type="fixed"/>
        <w:tblCellMar>
          <w:top w:w="0" w:type="dxa"/>
          <w:left w:w="108" w:type="dxa"/>
          <w:bottom w:w="0" w:type="dxa"/>
          <w:right w:w="108" w:type="dxa"/>
        </w:tblCellMar>
      </w:tblPr>
      <w:tblGrid>
        <w:gridCol w:w="621"/>
        <w:gridCol w:w="1669"/>
        <w:gridCol w:w="1500"/>
        <w:gridCol w:w="1476"/>
        <w:gridCol w:w="1476"/>
        <w:gridCol w:w="1142"/>
        <w:gridCol w:w="633"/>
        <w:gridCol w:w="795"/>
        <w:gridCol w:w="645"/>
        <w:gridCol w:w="1355"/>
      </w:tblGrid>
      <w:tr>
        <w:tblPrEx>
          <w:tblCellMar>
            <w:top w:w="0" w:type="dxa"/>
            <w:left w:w="108" w:type="dxa"/>
            <w:bottom w:w="0" w:type="dxa"/>
            <w:right w:w="108" w:type="dxa"/>
          </w:tblCellMar>
        </w:tblPrEx>
        <w:trPr>
          <w:trHeight w:val="624"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kern w:val="0"/>
                <w:sz w:val="20"/>
                <w:szCs w:val="21"/>
                <w:shd w:val="clear" w:color="auto" w:fill="auto"/>
                <w:lang w:val="en-US" w:eastAsia="zh-CN"/>
              </w:rPr>
            </w:pPr>
            <w:r>
              <w:rPr>
                <w:rFonts w:hint="eastAsia" w:ascii="宋体" w:hAnsi="宋体" w:cs="宋体"/>
                <w:b/>
                <w:bCs/>
                <w:color w:val="auto"/>
                <w:kern w:val="0"/>
                <w:sz w:val="20"/>
                <w:szCs w:val="21"/>
                <w:shd w:val="clear" w:color="auto" w:fill="auto"/>
                <w:lang w:val="en-US" w:eastAsia="zh-CN"/>
              </w:rPr>
              <w:t>医保码</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63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79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35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shd w:val="clear" w:color="auto" w:fill="auto"/>
                <w:lang w:val="en-US" w:eastAsia="zh-CN"/>
              </w:rPr>
              <w:t>采购方式</w:t>
            </w:r>
            <w:r>
              <w:rPr>
                <w:rFonts w:hint="eastAsia" w:ascii="宋体" w:hAnsi="宋体" w:cs="宋体"/>
                <w:b/>
                <w:bCs/>
                <w:color w:val="auto"/>
                <w:kern w:val="0"/>
                <w:sz w:val="20"/>
                <w:szCs w:val="21"/>
                <w:shd w:val="clear" w:color="auto" w:fill="auto"/>
                <w:lang w:val="en-US" w:eastAsia="zh-CN"/>
              </w:rPr>
              <w:t>（线上采购集采/线上采购/备案采购）</w:t>
            </w: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3223"/>
              <w:placeholder>
                <w:docPart w:val="{15f4d9a4-3d45-4e3a-a5d0-edf7b7055419}"/>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6505"/>
              <w:placeholder>
                <w:docPart w:val="{531dff21-1979-492d-a051-163f846f0da6}"/>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7302"/>
              <w:placeholder>
                <w:docPart w:val="{12cf8de1-92ce-45c8-ac7f-a4219fa1f882}"/>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1849"/>
              <w:placeholder>
                <w:docPart w:val="{ef492511-b271-481e-bccb-077b52f2197c}"/>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1505"/>
              <w:placeholder>
                <w:docPart w:val="{8261652b-1ef5-486b-8f71-5382a058f903}"/>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0973"/>
              <w:placeholder>
                <w:docPart w:val="{19d5a579-3a26-4aa6-98c9-15c27f32c800}"/>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5024"/>
              <w:placeholder>
                <w:docPart w:val="{c87d537c-65a2-49a0-80a9-02ab2913618b}"/>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bl>
    <w:p>
      <w:pPr>
        <w:widowControl/>
        <w:jc w:val="left"/>
        <w:rPr>
          <w:rFonts w:hint="eastAsia" w:ascii="宋体" w:hAnsi="宋体"/>
          <w:b w:val="0"/>
          <w:bCs/>
          <w:color w:val="000000"/>
          <w:sz w:val="28"/>
          <w:szCs w:val="28"/>
          <w:lang w:val="en-US" w:eastAsia="zh-CN"/>
        </w:rPr>
      </w:pPr>
    </w:p>
    <w:p>
      <w:pPr>
        <w:widowControl/>
        <w:jc w:val="left"/>
        <w:rPr>
          <w:rFonts w:hint="default" w:ascii="宋体" w:hAnsi="宋体" w:eastAsia="宋体"/>
          <w:b w:val="0"/>
          <w:bCs/>
          <w:color w:val="000000"/>
          <w:sz w:val="28"/>
          <w:szCs w:val="28"/>
          <w:highlight w:val="yellow"/>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而合同的结算单位为盒/瓶，需按照产品说明书或行业规范明确每人份的用量，同时每个品牌产品每人份用量可能不同，最终每人份用量需采购单位申请科室负责人审核同意，按照公式结算：每人份最终成交价*（产品一盒或瓶/每人份的用量）=每盒/瓶的价格。</w:t>
      </w:r>
      <w:r>
        <w:rPr>
          <w:rFonts w:hint="eastAsia" w:ascii="宋体" w:hAnsi="宋体"/>
          <w:b w:val="0"/>
          <w:bCs/>
          <w:color w:val="000000"/>
          <w:sz w:val="28"/>
          <w:szCs w:val="28"/>
          <w:highlight w:val="yellow"/>
          <w:lang w:val="en-US" w:eastAsia="zh-CN"/>
        </w:rPr>
        <w:t>供应商中选后将此表电子档单独发到采购办邮箱。</w:t>
      </w:r>
    </w:p>
    <w:p>
      <w:pPr>
        <w:pStyle w:val="3"/>
        <w:jc w:val="both"/>
        <w:rPr>
          <w:rFonts w:hint="eastAsia" w:ascii="仿宋_GB2312" w:eastAsia="仿宋_GB2312" w:cs="宋体"/>
          <w:color w:val="auto"/>
          <w:sz w:val="32"/>
          <w:szCs w:val="32"/>
          <w:lang w:val="en-US" w:eastAsia="zh-CN"/>
        </w:rPr>
      </w:pPr>
      <w:r>
        <w:rPr>
          <w:rFonts w:hint="eastAsia" w:ascii="仿宋_GB2312" w:hAnsi="宋体" w:eastAsia="仿宋_GB2312" w:cs="Times New Roman"/>
          <w:kern w:val="2"/>
          <w:sz w:val="24"/>
          <w:szCs w:val="22"/>
          <w:lang w:val="en-US" w:eastAsia="zh-CN" w:bidi="ar-SA"/>
        </w:rPr>
        <w:br w:type="page"/>
      </w:r>
      <w:r>
        <w:rPr>
          <w:rFonts w:hint="eastAsia" w:ascii="仿宋_GB2312" w:hAnsi="宋体" w:eastAsia="仿宋_GB2312" w:cs="宋体"/>
          <w:color w:val="auto"/>
          <w:sz w:val="32"/>
          <w:szCs w:val="32"/>
          <w:lang w:val="en-US" w:eastAsia="zh-CN"/>
        </w:rPr>
        <w:t>本页为供应商响应文件密封要求（</w:t>
      </w:r>
      <w:r>
        <w:rPr>
          <w:rFonts w:hint="eastAsia" w:ascii="仿宋_GB2312" w:eastAsia="仿宋_GB2312" w:cs="宋体"/>
          <w:color w:val="auto"/>
          <w:sz w:val="32"/>
          <w:szCs w:val="32"/>
          <w:lang w:val="en-US" w:eastAsia="zh-CN"/>
        </w:rPr>
        <w:t>正本一份、副本三份，一并装入密封档案袋中）</w:t>
      </w:r>
    </w:p>
    <w:p>
      <w:pPr>
        <w:rPr>
          <w:rFonts w:hint="default"/>
          <w:lang w:val="en-US" w:eastAsia="zh-CN"/>
        </w:rPr>
      </w:pPr>
      <w:r>
        <w:rPr>
          <w:rFonts w:hint="default"/>
          <w:lang w:val="en-US" w:eastAsia="zh-CN"/>
        </w:rPr>
        <w:drawing>
          <wp:inline distT="0" distB="0" distL="114300" distR="114300">
            <wp:extent cx="3073400" cy="4013200"/>
            <wp:effectExtent l="0" t="0" r="12700" b="635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3073400" cy="4013200"/>
                    </a:xfrm>
                    <a:prstGeom prst="rect">
                      <a:avLst/>
                    </a:prstGeom>
                    <a:noFill/>
                    <a:ln>
                      <a:noFill/>
                    </a:ln>
                  </pic:spPr>
                </pic:pic>
              </a:graphicData>
            </a:graphic>
          </wp:inline>
        </w:drawing>
      </w:r>
      <w:r>
        <w:rPr>
          <w:rFonts w:hint="default"/>
          <w:lang w:val="en-US" w:eastAsia="zh-CN"/>
        </w:rPr>
        <w:drawing>
          <wp:inline distT="0" distB="0" distL="114300" distR="114300">
            <wp:extent cx="3068320" cy="3910330"/>
            <wp:effectExtent l="0" t="0" r="17780" b="1397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3068320" cy="3910330"/>
                    </a:xfrm>
                    <a:prstGeom prst="rect">
                      <a:avLst/>
                    </a:prstGeom>
                    <a:noFill/>
                    <a:ln>
                      <a:noFill/>
                    </a:ln>
                  </pic:spPr>
                </pic:pic>
              </a:graphicData>
            </a:graphic>
          </wp:inline>
        </w:drawing>
      </w:r>
    </w:p>
    <w:p>
      <w:pPr>
        <w:adjustRightInd w:val="0"/>
        <w:snapToGrid w:val="0"/>
        <w:spacing w:line="360" w:lineRule="auto"/>
        <w:jc w:val="left"/>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02DE53"/>
    <w:multiLevelType w:val="singleLevel"/>
    <w:tmpl w:val="E302DE53"/>
    <w:lvl w:ilvl="0" w:tentative="0">
      <w:start w:val="4"/>
      <w:numFmt w:val="decimal"/>
      <w:lvlText w:val="%1."/>
      <w:lvlJc w:val="left"/>
      <w:pPr>
        <w:tabs>
          <w:tab w:val="left" w:pos="312"/>
        </w:tabs>
      </w:pPr>
    </w:lvl>
  </w:abstractNum>
  <w:abstractNum w:abstractNumId="1">
    <w:nsid w:val="2D1B8396"/>
    <w:multiLevelType w:val="singleLevel"/>
    <w:tmpl w:val="2D1B8396"/>
    <w:lvl w:ilvl="0" w:tentative="0">
      <w:start w:val="1"/>
      <w:numFmt w:val="decimal"/>
      <w:suff w:val="nothing"/>
      <w:lvlText w:val="%1、"/>
      <w:lvlJc w:val="left"/>
    </w:lvl>
  </w:abstractNum>
  <w:abstractNum w:abstractNumId="2">
    <w:nsid w:val="6792FF58"/>
    <w:multiLevelType w:val="singleLevel"/>
    <w:tmpl w:val="6792FF58"/>
    <w:lvl w:ilvl="0" w:tentative="0">
      <w:start w:val="2"/>
      <w:numFmt w:val="decimal"/>
      <w:lvlText w:val="%1."/>
      <w:lvlJc w:val="left"/>
      <w:pPr>
        <w:tabs>
          <w:tab w:val="left" w:pos="312"/>
        </w:tabs>
      </w:pPr>
    </w:lvl>
  </w:abstractNum>
  <w:abstractNum w:abstractNumId="3">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GZhNGMxOGQ3MjNjMzZlZGNmYzU1Mzk5NTY3YjMifQ=="/>
  </w:docVars>
  <w:rsids>
    <w:rsidRoot w:val="00E445E0"/>
    <w:rsid w:val="00086457"/>
    <w:rsid w:val="001C5FBC"/>
    <w:rsid w:val="00244B87"/>
    <w:rsid w:val="005F7C31"/>
    <w:rsid w:val="00A252A4"/>
    <w:rsid w:val="00DC5030"/>
    <w:rsid w:val="00E445E0"/>
    <w:rsid w:val="00E52128"/>
    <w:rsid w:val="00F57EB8"/>
    <w:rsid w:val="00F61DFC"/>
    <w:rsid w:val="01912D5A"/>
    <w:rsid w:val="01F43647"/>
    <w:rsid w:val="01FC2334"/>
    <w:rsid w:val="03177D0D"/>
    <w:rsid w:val="03214205"/>
    <w:rsid w:val="038E466A"/>
    <w:rsid w:val="03B33413"/>
    <w:rsid w:val="03D451A1"/>
    <w:rsid w:val="04314362"/>
    <w:rsid w:val="045301F6"/>
    <w:rsid w:val="045A10E2"/>
    <w:rsid w:val="054A568F"/>
    <w:rsid w:val="05A1651B"/>
    <w:rsid w:val="06FC5DD8"/>
    <w:rsid w:val="07043A2A"/>
    <w:rsid w:val="078057A6"/>
    <w:rsid w:val="07BF7925"/>
    <w:rsid w:val="08183C31"/>
    <w:rsid w:val="08305016"/>
    <w:rsid w:val="0A0126EF"/>
    <w:rsid w:val="0A2C7BD0"/>
    <w:rsid w:val="0AEF7612"/>
    <w:rsid w:val="0B281E05"/>
    <w:rsid w:val="0B2964A2"/>
    <w:rsid w:val="0B982A6A"/>
    <w:rsid w:val="0BE0558A"/>
    <w:rsid w:val="0C1A03FD"/>
    <w:rsid w:val="0C25027D"/>
    <w:rsid w:val="0D92520D"/>
    <w:rsid w:val="0DDC3AA7"/>
    <w:rsid w:val="0E121180"/>
    <w:rsid w:val="0E693A04"/>
    <w:rsid w:val="0E74655B"/>
    <w:rsid w:val="0F262B64"/>
    <w:rsid w:val="0F2E7B6F"/>
    <w:rsid w:val="0F5C53DF"/>
    <w:rsid w:val="0F776B4A"/>
    <w:rsid w:val="1060172D"/>
    <w:rsid w:val="11135531"/>
    <w:rsid w:val="111663BA"/>
    <w:rsid w:val="1127726F"/>
    <w:rsid w:val="112A1D2D"/>
    <w:rsid w:val="116640D2"/>
    <w:rsid w:val="12333C18"/>
    <w:rsid w:val="127D5626"/>
    <w:rsid w:val="12C54103"/>
    <w:rsid w:val="133C6AD5"/>
    <w:rsid w:val="152F444C"/>
    <w:rsid w:val="153F3EC8"/>
    <w:rsid w:val="17D349D1"/>
    <w:rsid w:val="18750FA5"/>
    <w:rsid w:val="187A3C70"/>
    <w:rsid w:val="189221C7"/>
    <w:rsid w:val="18A961DF"/>
    <w:rsid w:val="192908FA"/>
    <w:rsid w:val="193C6C24"/>
    <w:rsid w:val="19B0630C"/>
    <w:rsid w:val="19BF58A1"/>
    <w:rsid w:val="19C9042A"/>
    <w:rsid w:val="19E31E2D"/>
    <w:rsid w:val="1B672584"/>
    <w:rsid w:val="1BDB1DFC"/>
    <w:rsid w:val="1C2E45B1"/>
    <w:rsid w:val="1CF64572"/>
    <w:rsid w:val="1D38070F"/>
    <w:rsid w:val="1E9E1F27"/>
    <w:rsid w:val="1F446E3C"/>
    <w:rsid w:val="1F4E6F21"/>
    <w:rsid w:val="1F9F1AB3"/>
    <w:rsid w:val="20262375"/>
    <w:rsid w:val="206B29E9"/>
    <w:rsid w:val="217A21C5"/>
    <w:rsid w:val="22CB5230"/>
    <w:rsid w:val="22E50F79"/>
    <w:rsid w:val="24027D8C"/>
    <w:rsid w:val="24051BA8"/>
    <w:rsid w:val="247C1983"/>
    <w:rsid w:val="260375AF"/>
    <w:rsid w:val="265D3914"/>
    <w:rsid w:val="26E75571"/>
    <w:rsid w:val="26F848F6"/>
    <w:rsid w:val="27897907"/>
    <w:rsid w:val="2A231053"/>
    <w:rsid w:val="2A641BEC"/>
    <w:rsid w:val="2A9601E3"/>
    <w:rsid w:val="2A9E4D57"/>
    <w:rsid w:val="2C3D17A3"/>
    <w:rsid w:val="2C4E3A86"/>
    <w:rsid w:val="2CBF67E5"/>
    <w:rsid w:val="2D0D69E1"/>
    <w:rsid w:val="2D122324"/>
    <w:rsid w:val="2D2944BE"/>
    <w:rsid w:val="2D5C7FE7"/>
    <w:rsid w:val="2D875292"/>
    <w:rsid w:val="2E4F1A10"/>
    <w:rsid w:val="2F480F12"/>
    <w:rsid w:val="2FBB1EC7"/>
    <w:rsid w:val="30B77259"/>
    <w:rsid w:val="316D0DA5"/>
    <w:rsid w:val="31747F90"/>
    <w:rsid w:val="31EB6582"/>
    <w:rsid w:val="31EC6056"/>
    <w:rsid w:val="322D045B"/>
    <w:rsid w:val="336B6A5B"/>
    <w:rsid w:val="34817B05"/>
    <w:rsid w:val="34E96C65"/>
    <w:rsid w:val="35B37CD8"/>
    <w:rsid w:val="35F91BA0"/>
    <w:rsid w:val="36455513"/>
    <w:rsid w:val="36592E47"/>
    <w:rsid w:val="36B97ADD"/>
    <w:rsid w:val="375A4E1C"/>
    <w:rsid w:val="37922606"/>
    <w:rsid w:val="37EE614D"/>
    <w:rsid w:val="395A55A8"/>
    <w:rsid w:val="39670BA3"/>
    <w:rsid w:val="39675BD9"/>
    <w:rsid w:val="397F3D71"/>
    <w:rsid w:val="3A022CB0"/>
    <w:rsid w:val="3A073743"/>
    <w:rsid w:val="3CCA1B30"/>
    <w:rsid w:val="3E633BE2"/>
    <w:rsid w:val="40E13B95"/>
    <w:rsid w:val="41E440AB"/>
    <w:rsid w:val="41EF5F53"/>
    <w:rsid w:val="42784D13"/>
    <w:rsid w:val="43533C25"/>
    <w:rsid w:val="4365514D"/>
    <w:rsid w:val="4413072B"/>
    <w:rsid w:val="446D3310"/>
    <w:rsid w:val="44BE681C"/>
    <w:rsid w:val="458200D5"/>
    <w:rsid w:val="45A23A80"/>
    <w:rsid w:val="45A7242F"/>
    <w:rsid w:val="45ED07BE"/>
    <w:rsid w:val="46F936A8"/>
    <w:rsid w:val="4755437D"/>
    <w:rsid w:val="4773430F"/>
    <w:rsid w:val="47AF4141"/>
    <w:rsid w:val="48481EDA"/>
    <w:rsid w:val="4B000257"/>
    <w:rsid w:val="4B01127E"/>
    <w:rsid w:val="4BE06497"/>
    <w:rsid w:val="4BEF7421"/>
    <w:rsid w:val="4C071622"/>
    <w:rsid w:val="4C16658E"/>
    <w:rsid w:val="4CC6569A"/>
    <w:rsid w:val="4D380C2E"/>
    <w:rsid w:val="4E3A25BC"/>
    <w:rsid w:val="4EA57B48"/>
    <w:rsid w:val="4EA75A4A"/>
    <w:rsid w:val="50D61909"/>
    <w:rsid w:val="533A196A"/>
    <w:rsid w:val="53662D9E"/>
    <w:rsid w:val="545F09D6"/>
    <w:rsid w:val="549A5A48"/>
    <w:rsid w:val="56703AD1"/>
    <w:rsid w:val="56CB70C2"/>
    <w:rsid w:val="572F0FEC"/>
    <w:rsid w:val="57DB33E3"/>
    <w:rsid w:val="587E3D63"/>
    <w:rsid w:val="588C4742"/>
    <w:rsid w:val="59A13C20"/>
    <w:rsid w:val="59BB2054"/>
    <w:rsid w:val="5A100027"/>
    <w:rsid w:val="5A512369"/>
    <w:rsid w:val="5A5B0C64"/>
    <w:rsid w:val="5B656B5D"/>
    <w:rsid w:val="5B716309"/>
    <w:rsid w:val="5C3A2DA7"/>
    <w:rsid w:val="5C5032DC"/>
    <w:rsid w:val="5C78446B"/>
    <w:rsid w:val="5D005BEB"/>
    <w:rsid w:val="5D416C11"/>
    <w:rsid w:val="5E9A5433"/>
    <w:rsid w:val="5EE54CD9"/>
    <w:rsid w:val="5EE9359E"/>
    <w:rsid w:val="5F680545"/>
    <w:rsid w:val="5FC72C41"/>
    <w:rsid w:val="609E5367"/>
    <w:rsid w:val="60A32FC7"/>
    <w:rsid w:val="60AF6D3F"/>
    <w:rsid w:val="60BC4792"/>
    <w:rsid w:val="622A5268"/>
    <w:rsid w:val="62BA0AE5"/>
    <w:rsid w:val="63B41BA1"/>
    <w:rsid w:val="63C86061"/>
    <w:rsid w:val="65051C35"/>
    <w:rsid w:val="65825D08"/>
    <w:rsid w:val="65C64E6A"/>
    <w:rsid w:val="661C43A8"/>
    <w:rsid w:val="673D548B"/>
    <w:rsid w:val="6870599E"/>
    <w:rsid w:val="68A37B22"/>
    <w:rsid w:val="69D16388"/>
    <w:rsid w:val="69F33675"/>
    <w:rsid w:val="6A1E1D58"/>
    <w:rsid w:val="6B3B2D19"/>
    <w:rsid w:val="6B776B5F"/>
    <w:rsid w:val="6D0B745B"/>
    <w:rsid w:val="6D116053"/>
    <w:rsid w:val="6D406C99"/>
    <w:rsid w:val="6DA93E2C"/>
    <w:rsid w:val="6DC35E66"/>
    <w:rsid w:val="6E2521BC"/>
    <w:rsid w:val="6E2F6425"/>
    <w:rsid w:val="6E3E05AF"/>
    <w:rsid w:val="6E9248C1"/>
    <w:rsid w:val="6FB1521A"/>
    <w:rsid w:val="708539A9"/>
    <w:rsid w:val="70EB33E3"/>
    <w:rsid w:val="71F12BBF"/>
    <w:rsid w:val="73054CC1"/>
    <w:rsid w:val="73B16225"/>
    <w:rsid w:val="73CB2A32"/>
    <w:rsid w:val="740F0761"/>
    <w:rsid w:val="74195F93"/>
    <w:rsid w:val="74581E2E"/>
    <w:rsid w:val="748822F3"/>
    <w:rsid w:val="748930CA"/>
    <w:rsid w:val="74E26423"/>
    <w:rsid w:val="75AD2D57"/>
    <w:rsid w:val="76383848"/>
    <w:rsid w:val="76CA13F7"/>
    <w:rsid w:val="775F23E8"/>
    <w:rsid w:val="78C334AB"/>
    <w:rsid w:val="7907664D"/>
    <w:rsid w:val="7A4128DE"/>
    <w:rsid w:val="7A5D40AB"/>
    <w:rsid w:val="7B2C0FDB"/>
    <w:rsid w:val="7E655B58"/>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5f4d9a4-3d45-4e3a-a5d0-edf7b7055419}"/>
        <w:style w:val=""/>
        <w:category>
          <w:name w:val="常规"/>
          <w:gallery w:val="placeholder"/>
        </w:category>
        <w:types>
          <w:type w:val="bbPlcHdr"/>
        </w:types>
        <w:behaviors>
          <w:behavior w:val="content"/>
        </w:behaviors>
        <w:description w:val=""/>
        <w:guid w:val="{15f4d9a4-3d45-4e3a-a5d0-edf7b7055419}"/>
      </w:docPartPr>
      <w:docPartBody>
        <w:p>
          <w:r>
            <w:rPr>
              <w:color w:val="808080"/>
            </w:rPr>
            <w:t>选择一项。</w:t>
          </w:r>
        </w:p>
      </w:docPartBody>
    </w:docPart>
    <w:docPart>
      <w:docPartPr>
        <w:name w:val="{531dff21-1979-492d-a051-163f846f0da6}"/>
        <w:style w:val=""/>
        <w:category>
          <w:name w:val="常规"/>
          <w:gallery w:val="placeholder"/>
        </w:category>
        <w:types>
          <w:type w:val="bbPlcHdr"/>
        </w:types>
        <w:behaviors>
          <w:behavior w:val="content"/>
        </w:behaviors>
        <w:description w:val=""/>
        <w:guid w:val="{531dff21-1979-492d-a051-163f846f0da6}"/>
      </w:docPartPr>
      <w:docPartBody>
        <w:p>
          <w:r>
            <w:rPr>
              <w:color w:val="808080"/>
            </w:rPr>
            <w:t>选择一项。</w:t>
          </w:r>
        </w:p>
      </w:docPartBody>
    </w:docPart>
    <w:docPart>
      <w:docPartPr>
        <w:name w:val="{12cf8de1-92ce-45c8-ac7f-a4219fa1f882}"/>
        <w:style w:val=""/>
        <w:category>
          <w:name w:val="常规"/>
          <w:gallery w:val="placeholder"/>
        </w:category>
        <w:types>
          <w:type w:val="bbPlcHdr"/>
        </w:types>
        <w:behaviors>
          <w:behavior w:val="content"/>
        </w:behaviors>
        <w:description w:val=""/>
        <w:guid w:val="{12cf8de1-92ce-45c8-ac7f-a4219fa1f882}"/>
      </w:docPartPr>
      <w:docPartBody>
        <w:p>
          <w:r>
            <w:rPr>
              <w:color w:val="808080"/>
            </w:rPr>
            <w:t>选择一项。</w:t>
          </w:r>
        </w:p>
      </w:docPartBody>
    </w:docPart>
    <w:docPart>
      <w:docPartPr>
        <w:name w:val="{ef492511-b271-481e-bccb-077b52f2197c}"/>
        <w:style w:val=""/>
        <w:category>
          <w:name w:val="常规"/>
          <w:gallery w:val="placeholder"/>
        </w:category>
        <w:types>
          <w:type w:val="bbPlcHdr"/>
        </w:types>
        <w:behaviors>
          <w:behavior w:val="content"/>
        </w:behaviors>
        <w:description w:val=""/>
        <w:guid w:val="{ef492511-b271-481e-bccb-077b52f2197c}"/>
      </w:docPartPr>
      <w:docPartBody>
        <w:p>
          <w:r>
            <w:rPr>
              <w:color w:val="808080"/>
            </w:rPr>
            <w:t>选择一项。</w:t>
          </w:r>
        </w:p>
      </w:docPartBody>
    </w:docPart>
    <w:docPart>
      <w:docPartPr>
        <w:name w:val="{8261652b-1ef5-486b-8f71-5382a058f903}"/>
        <w:style w:val=""/>
        <w:category>
          <w:name w:val="常规"/>
          <w:gallery w:val="placeholder"/>
        </w:category>
        <w:types>
          <w:type w:val="bbPlcHdr"/>
        </w:types>
        <w:behaviors>
          <w:behavior w:val="content"/>
        </w:behaviors>
        <w:description w:val=""/>
        <w:guid w:val="{8261652b-1ef5-486b-8f71-5382a058f903}"/>
      </w:docPartPr>
      <w:docPartBody>
        <w:p>
          <w:r>
            <w:rPr>
              <w:color w:val="808080"/>
            </w:rPr>
            <w:t>选择一项。</w:t>
          </w:r>
        </w:p>
      </w:docPartBody>
    </w:docPart>
    <w:docPart>
      <w:docPartPr>
        <w:name w:val="{19d5a579-3a26-4aa6-98c9-15c27f32c800}"/>
        <w:style w:val=""/>
        <w:category>
          <w:name w:val="常规"/>
          <w:gallery w:val="placeholder"/>
        </w:category>
        <w:types>
          <w:type w:val="bbPlcHdr"/>
        </w:types>
        <w:behaviors>
          <w:behavior w:val="content"/>
        </w:behaviors>
        <w:description w:val=""/>
        <w:guid w:val="{19d5a579-3a26-4aa6-98c9-15c27f32c800}"/>
      </w:docPartPr>
      <w:docPartBody>
        <w:p>
          <w:r>
            <w:rPr>
              <w:color w:val="808080"/>
            </w:rPr>
            <w:t>选择一项。</w:t>
          </w:r>
        </w:p>
      </w:docPartBody>
    </w:docPart>
    <w:docPart>
      <w:docPartPr>
        <w:name w:val="{c87d537c-65a2-49a0-80a9-02ab2913618b}"/>
        <w:style w:val=""/>
        <w:category>
          <w:name w:val="常规"/>
          <w:gallery w:val="placeholder"/>
        </w:category>
        <w:types>
          <w:type w:val="bbPlcHdr"/>
        </w:types>
        <w:behaviors>
          <w:behavior w:val="content"/>
        </w:behaviors>
        <w:description w:val=""/>
        <w:guid w:val="{c87d537c-65a2-49a0-80a9-02ab2913618b}"/>
      </w:docPartPr>
      <w:docPartBody>
        <w:p>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6273</Words>
  <Characters>6418</Characters>
  <Lines>202</Lines>
  <Paragraphs>243</Paragraphs>
  <TotalTime>0</TotalTime>
  <ScaleCrop>false</ScaleCrop>
  <LinksUpToDate>false</LinksUpToDate>
  <CharactersWithSpaces>6429</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王文君</cp:lastModifiedBy>
  <cp:lastPrinted>2023-07-14T02:26:00Z</cp:lastPrinted>
  <dcterms:modified xsi:type="dcterms:W3CDTF">2025-12-29T08:20:23Z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D71493DB5ED346A08F8B44D0E22515E4_13</vt:lpwstr>
  </property>
  <property fmtid="{D5CDD505-2E9C-101B-9397-08002B2CF9AE}" pid="4" name="KSOTemplateDocerSaveRecord">
    <vt:lpwstr>eyJoZGlkIjoiNzliNmRkY2YyN2FjZDQwMDgzZGM4ZDZkNTA3MTFmNGMiLCJ1c2VySWQiOiIxNjE2MTQ1MTM5In0=</vt:lpwstr>
  </property>
</Properties>
</file>