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液体伤口敷料</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05018</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5"/>
        <w:gridCol w:w="853"/>
        <w:gridCol w:w="978"/>
        <w:gridCol w:w="1574"/>
        <w:gridCol w:w="2723"/>
        <w:gridCol w:w="2099"/>
        <w:gridCol w:w="780"/>
        <w:gridCol w:w="821"/>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8" w:hRule="atLeast"/>
        </w:trPr>
        <w:tc>
          <w:tcPr>
            <w:tcW w:w="54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5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97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5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72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09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2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4" w:hRule="atLeast"/>
        </w:trPr>
        <w:tc>
          <w:tcPr>
            <w:tcW w:w="54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5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骨科（关节外科、创伤外科、手足外科）</w:t>
            </w:r>
          </w:p>
        </w:tc>
        <w:tc>
          <w:tcPr>
            <w:tcW w:w="978"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rPr>
              <w:t>液体伤口敷料</w:t>
            </w:r>
          </w:p>
        </w:tc>
        <w:tc>
          <w:tcPr>
            <w:tcW w:w="1574"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小包装大于等于35ml，大包装大于等于350ml</w:t>
            </w:r>
          </w:p>
        </w:tc>
        <w:tc>
          <w:tcPr>
            <w:tcW w:w="272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1：用于急性伤口-创伤如皮肤破口，咬伤，割伤，挤压伤，手术后伤口的清洁，冲洗，湿润和去除污染。</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2：用于探查手术术中的伤口清洁及冲洗，例如肢端严重损伤。</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3:用于封闭式负压吸引术中的创面清洗。</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4：开盖溶液合理有效期不少于7周。</w:t>
            </w:r>
          </w:p>
        </w:tc>
        <w:tc>
          <w:tcPr>
            <w:tcW w:w="209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由十一碳烯酰胺丙基甜菜碱，聚氨丙基双胍（聚己双胍），纯净水</w:t>
            </w:r>
          </w:p>
        </w:tc>
        <w:tc>
          <w:tcPr>
            <w:tcW w:w="78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150瓶</w:t>
            </w:r>
          </w:p>
        </w:tc>
        <w:tc>
          <w:tcPr>
            <w:tcW w:w="82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135元/瓶</w:t>
            </w:r>
          </w:p>
        </w:tc>
        <w:tc>
          <w:tcPr>
            <w:tcW w:w="82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10373"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bookmarkStart w:id="34" w:name="_GoBack"/>
            <w:bookmarkEnd w:id="34"/>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821"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014287"/>
      <w:bookmarkStart w:id="2" w:name="_Toc128229278"/>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56730450"/>
      <w:bookmarkStart w:id="7" w:name="_Toc156815770"/>
      <w:bookmarkStart w:id="8" w:name="_Toc128229916"/>
      <w:bookmarkStart w:id="9" w:name="_Toc166139912"/>
      <w:bookmarkStart w:id="10" w:name="_Toc173677397"/>
      <w:bookmarkStart w:id="11" w:name="_Toc128229745"/>
      <w:bookmarkStart w:id="12" w:name="_Toc156196559"/>
      <w:bookmarkStart w:id="13" w:name="_Toc156196470"/>
      <w:bookmarkStart w:id="14" w:name="_Toc175017342"/>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56196560"/>
      <w:bookmarkStart w:id="18" w:name="_Toc156196471"/>
      <w:bookmarkStart w:id="19" w:name="_Toc156730451"/>
      <w:bookmarkStart w:id="20" w:name="_Toc128229303"/>
      <w:bookmarkStart w:id="21" w:name="_Toc156815771"/>
      <w:bookmarkStart w:id="22" w:name="_Toc173677398"/>
      <w:bookmarkStart w:id="23" w:name="_Toc175017343"/>
      <w:bookmarkStart w:id="24" w:name="_Toc128229746"/>
      <w:bookmarkStart w:id="25" w:name="_Toc128229917"/>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56196472"/>
      <w:bookmarkStart w:id="29" w:name="_Toc128229747"/>
      <w:bookmarkStart w:id="30" w:name="_Toc237057793"/>
      <w:bookmarkStart w:id="31" w:name="_Toc173677399"/>
      <w:bookmarkStart w:id="32" w:name="_Toc175017344"/>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045D72"/>
    <w:rsid w:val="27897907"/>
    <w:rsid w:val="2A231053"/>
    <w:rsid w:val="2A3E7A66"/>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7228AF"/>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D777E7"/>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2733E2"/>
    <w:rsid w:val="545F09D6"/>
    <w:rsid w:val="549A5A48"/>
    <w:rsid w:val="56703AD1"/>
    <w:rsid w:val="56CB70C2"/>
    <w:rsid w:val="572F0FEC"/>
    <w:rsid w:val="57DB33E3"/>
    <w:rsid w:val="587E3D63"/>
    <w:rsid w:val="588C4742"/>
    <w:rsid w:val="58BF28DA"/>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22A5268"/>
    <w:rsid w:val="62BA0AE5"/>
    <w:rsid w:val="63B41BA1"/>
    <w:rsid w:val="63C86061"/>
    <w:rsid w:val="64761FE6"/>
    <w:rsid w:val="65051C35"/>
    <w:rsid w:val="65825D08"/>
    <w:rsid w:val="65C64E6A"/>
    <w:rsid w:val="661C43A8"/>
    <w:rsid w:val="66924F9C"/>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0</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2026-05-26T08:04:17Z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