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项目名称：腹膜透析外接短管等</w:t>
      </w:r>
      <w:r>
        <w:rPr>
          <w:rFonts w:hint="eastAsia" w:ascii="宋体" w:hAnsi="宋体" w:cs="Times New Roman"/>
          <w:kern w:val="2"/>
          <w:sz w:val="32"/>
          <w:szCs w:val="32"/>
          <w:lang w:val="en-US" w:eastAsia="zh-CN" w:bidi="ar-SA"/>
        </w:rPr>
        <w:t>耗材（第三次）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腹膜透析外接短管</w:t>
            </w:r>
          </w:p>
          <w:p>
            <w:pPr>
              <w:keepNext w:val="0"/>
              <w:keepLines w:val="0"/>
              <w:widowControl/>
              <w:suppressLineNumbers w:val="0"/>
              <w:jc w:val="left"/>
              <w:textAlignment w:val="center"/>
              <w:rPr>
                <w:rFonts w:hint="default"/>
                <w:lang w:val="en-US" w:eastAsia="zh-CN"/>
              </w:rPr>
            </w:pP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尖端保护帽、浅蓝开关、白色套筒、管路、腹透管连接端口、拉环帽及百特腹透液连接端口。</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120元/套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腹膜透析螺旋帽钛接头</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p>
        </w:tc>
        <w:tc>
          <w:tcPr>
            <w:tcW w:w="1215"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材料为纯钛，由两部分组成:钛接头和螺旋帽。钛接头为一个双重密封，鲁尔内锁定接头。环氧乙烷灭菌，一次性使用。</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388元/套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腹膜透析管及附件</w:t>
            </w:r>
          </w:p>
        </w:tc>
        <w:tc>
          <w:tcPr>
            <w:tcW w:w="1215"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62cm的卷曲管，导管内径2.5±0.3mm</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卷曲管，两个毛毡卡夫</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在合同签订前，成交供应商向采购人缴纳项目履约保证金1</w:t>
      </w:r>
      <w:bookmarkStart w:id="34" w:name="_GoBack"/>
      <w:bookmarkEnd w:id="34"/>
      <w:r>
        <w:rPr>
          <w:rFonts w:hint="eastAsia" w:ascii="方正仿宋_GBK" w:hAnsi="方正仿宋_GBK" w:eastAsia="方正仿宋_GBK" w:cs="方正仿宋_GBK"/>
          <w:kern w:val="2"/>
          <w:sz w:val="30"/>
          <w:szCs w:val="30"/>
          <w:highlight w:val="none"/>
          <w:lang w:val="en-US" w:eastAsia="zh-CN" w:bidi="ar-SA"/>
        </w:rPr>
        <w:t>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278"/>
      <w:bookmarkStart w:id="3" w:name="_Toc128229721"/>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73677397"/>
      <w:bookmarkStart w:id="7" w:name="_Toc156196470"/>
      <w:bookmarkStart w:id="8" w:name="_Toc156196559"/>
      <w:bookmarkStart w:id="9" w:name="_Toc175017342"/>
      <w:bookmarkStart w:id="10" w:name="_Toc156730450"/>
      <w:bookmarkStart w:id="11" w:name="_Toc166549448"/>
      <w:bookmarkStart w:id="12" w:name="_Toc156815770"/>
      <w:bookmarkStart w:id="13" w:name="_Toc128229302"/>
      <w:bookmarkStart w:id="14" w:name="_Toc166139912"/>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730451"/>
      <w:bookmarkStart w:id="18" w:name="_Toc156196560"/>
      <w:bookmarkStart w:id="19" w:name="_Toc128229303"/>
      <w:bookmarkStart w:id="20" w:name="_Toc175017343"/>
      <w:bookmarkStart w:id="21" w:name="_Toc173677398"/>
      <w:bookmarkStart w:id="22" w:name="_Toc128229917"/>
      <w:bookmarkStart w:id="23" w:name="_Toc156196471"/>
      <w:bookmarkStart w:id="24" w:name="_Toc166139913"/>
      <w:bookmarkStart w:id="25" w:name="_Toc156815771"/>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747"/>
      <w:bookmarkStart w:id="29" w:name="_Toc175017344"/>
      <w:bookmarkStart w:id="30" w:name="_Toc173677399"/>
      <w:bookmarkStart w:id="31" w:name="_Toc156196472"/>
      <w:bookmarkStart w:id="32" w:name="_Toc12822930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9E86845"/>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877105"/>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4F1C48B2"/>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B94141"/>
    <w:rsid w:val="65C64E6A"/>
    <w:rsid w:val="661C43A8"/>
    <w:rsid w:val="66D1005A"/>
    <w:rsid w:val="673D548B"/>
    <w:rsid w:val="67B80689"/>
    <w:rsid w:val="6870599E"/>
    <w:rsid w:val="68841AA3"/>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002A0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9962</Words>
  <Characters>11212</Characters>
  <Lines>202</Lines>
  <Paragraphs>243</Paragraphs>
  <TotalTime>12</TotalTime>
  <ScaleCrop>false</ScaleCrop>
  <LinksUpToDate>false</LinksUpToDate>
  <CharactersWithSpaces>11592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2026-04-13T01:29:41Z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