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bookmarkStart w:id="7" w:name="_GoBack"/>
      <w:bookmarkEnd w:id="7"/>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项目名称：一次性纸杯</w:t>
      </w:r>
    </w:p>
    <w:p w14:paraId="0355F30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项目编号：BSRMYY-YNCG-2026-09006</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532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537"/>
        <w:gridCol w:w="2334"/>
        <w:gridCol w:w="1100"/>
        <w:gridCol w:w="2166"/>
        <w:gridCol w:w="2354"/>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1209"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1112"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预估量（3年）</w:t>
            </w:r>
          </w:p>
        </w:tc>
        <w:tc>
          <w:tcPr>
            <w:tcW w:w="524"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032"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单价限价（元）</w:t>
            </w:r>
          </w:p>
        </w:tc>
        <w:tc>
          <w:tcPr>
            <w:tcW w:w="1121" w:type="pct"/>
            <w:vAlign w:val="center"/>
          </w:tcPr>
          <w:p w14:paraId="01B9DA0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5" w:hRule="atLeast"/>
          <w:jc w:val="center"/>
        </w:trPr>
        <w:tc>
          <w:tcPr>
            <w:tcW w:w="1209"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一次性纸杯</w:t>
            </w:r>
          </w:p>
        </w:tc>
        <w:tc>
          <w:tcPr>
            <w:tcW w:w="1112"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1050000</w:t>
            </w:r>
          </w:p>
        </w:tc>
        <w:tc>
          <w:tcPr>
            <w:tcW w:w="524"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个</w:t>
            </w:r>
          </w:p>
        </w:tc>
        <w:tc>
          <w:tcPr>
            <w:tcW w:w="1032"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0.087</w:t>
            </w:r>
          </w:p>
        </w:tc>
        <w:tc>
          <w:tcPr>
            <w:tcW w:w="1121" w:type="pct"/>
            <w:vAlign w:val="center"/>
          </w:tcPr>
          <w:p w14:paraId="4CC138C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91350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备注：预估用量不做采购承诺，招采3年单价，合同期间以实际用量据实结算；本项目仅针对国产产品，不予接受进口产品响应。</w:t>
      </w:r>
    </w:p>
    <w:p w14:paraId="3AC97B9E">
      <w:pPr>
        <w:pStyle w:val="26"/>
        <w:numPr>
          <w:ilvl w:val="0"/>
          <w:numId w:val="0"/>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二、技术要求（须完全响应）</w:t>
      </w:r>
    </w:p>
    <w:tbl>
      <w:tblPr>
        <w:tblStyle w:val="14"/>
        <w:tblW w:w="101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4"/>
        <w:gridCol w:w="7859"/>
      </w:tblGrid>
      <w:tr w14:paraId="0A61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34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项目名称</w:t>
            </w:r>
          </w:p>
        </w:tc>
        <w:tc>
          <w:tcPr>
            <w:tcW w:w="7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E70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参数要求</w:t>
            </w:r>
          </w:p>
        </w:tc>
      </w:tr>
      <w:tr w14:paraId="56D19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jc w:val="center"/>
        </w:trPr>
        <w:tc>
          <w:tcPr>
            <w:tcW w:w="2294" w:type="dxa"/>
            <w:vMerge w:val="restart"/>
            <w:tcBorders>
              <w:top w:val="single" w:color="000000" w:sz="4" w:space="0"/>
              <w:left w:val="single" w:color="000000" w:sz="4" w:space="0"/>
              <w:right w:val="single" w:color="000000" w:sz="4" w:space="0"/>
            </w:tcBorders>
            <w:shd w:val="clear" w:color="auto" w:fill="auto"/>
            <w:vAlign w:val="center"/>
          </w:tcPr>
          <w:p w14:paraId="1A95E7A4">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bidi="ar-SA"/>
              </w:rPr>
            </w:pPr>
            <w:r>
              <w:rPr>
                <w:rFonts w:hint="default" w:ascii="方正仿宋_GBK" w:hAnsi="方正仿宋_GBK" w:eastAsia="方正仿宋_GBK" w:cs="方正仿宋_GBK"/>
                <w:b/>
                <w:bCs/>
                <w:kern w:val="0"/>
                <w:sz w:val="28"/>
                <w:szCs w:val="28"/>
                <w:highlight w:val="none"/>
                <w:lang w:val="en-US" w:eastAsia="zh-CN"/>
              </w:rPr>
              <w:t>一次性纸杯</w:t>
            </w:r>
          </w:p>
        </w:tc>
        <w:tc>
          <w:tcPr>
            <w:tcW w:w="7859" w:type="dxa"/>
            <w:vMerge w:val="restart"/>
            <w:tcBorders>
              <w:top w:val="single" w:color="000000" w:sz="4" w:space="0"/>
              <w:left w:val="single" w:color="000000" w:sz="4" w:space="0"/>
              <w:right w:val="single" w:color="000000" w:sz="4" w:space="0"/>
            </w:tcBorders>
            <w:shd w:val="clear" w:color="auto" w:fill="auto"/>
            <w:vAlign w:val="center"/>
          </w:tcPr>
          <w:p w14:paraId="4217C91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规格：5盎司(140ml)，上口直径63mm（±0.5mm)、下口直径45.5mm（±0.5mm)、高度73mm（±1mm)； 外观：彩色印刷医院名称及标识</w:t>
            </w:r>
          </w:p>
          <w:p w14:paraId="5C1FF5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材质要求：≥183g/m²纸基，食品级PE单淋膜（提供检验报告)，要求耐高温、不渗透、无异味、不变形。纸杯质量须符合国家标准（GB/T27590-2022)。</w:t>
            </w:r>
          </w:p>
          <w:p w14:paraId="1BBD16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主要性能：直接饮用</w:t>
            </w:r>
          </w:p>
          <w:p w14:paraId="643B9E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用途范围：用于盛装冷、热水</w:t>
            </w:r>
          </w:p>
          <w:p w14:paraId="2E5F7E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环保节能要求：不含有毒有害成分</w:t>
            </w:r>
          </w:p>
        </w:tc>
      </w:tr>
      <w:tr w14:paraId="7F73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2294" w:type="dxa"/>
            <w:vMerge w:val="continue"/>
            <w:tcBorders>
              <w:left w:val="single" w:color="000000" w:sz="4" w:space="0"/>
              <w:bottom w:val="single" w:color="000000" w:sz="4" w:space="0"/>
              <w:right w:val="single" w:color="000000" w:sz="4" w:space="0"/>
            </w:tcBorders>
            <w:shd w:val="clear" w:color="auto" w:fill="auto"/>
            <w:vAlign w:val="center"/>
          </w:tcPr>
          <w:p w14:paraId="09CFD0F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7859" w:type="dxa"/>
            <w:vMerge w:val="continue"/>
            <w:tcBorders>
              <w:left w:val="single" w:color="000000" w:sz="4" w:space="0"/>
              <w:bottom w:val="single" w:color="000000" w:sz="4" w:space="0"/>
              <w:right w:val="single" w:color="000000" w:sz="4" w:space="0"/>
            </w:tcBorders>
            <w:shd w:val="clear" w:color="auto" w:fill="auto"/>
            <w:vAlign w:val="center"/>
          </w:tcPr>
          <w:p w14:paraId="219966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本项目招采3年单价，</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包括但不限于货款、运输装卸、质保期维护保养费（含易损件更换）、资料装订及邮寄费、税费、保险费、验收检测费等完成本项目所需的一切费用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。合同期内产品单价浮动15%以内单价不变，超过15%重新协商，协商不成重新招采。</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b w:val="0"/>
          <w:bCs w:val="0"/>
          <w:color w:val="auto"/>
          <w:kern w:val="0"/>
          <w:sz w:val="32"/>
          <w:szCs w:val="32"/>
          <w:highlight w:val="none"/>
          <w:lang w:val="en-US" w:eastAsia="zh-CN"/>
        </w:rPr>
        <w:t>本项目合同期3年，</w:t>
      </w:r>
      <w:r>
        <w:rPr>
          <w:rFonts w:hint="eastAsia" w:ascii="方正仿宋_GBK" w:hAnsi="方正仿宋_GBK" w:eastAsia="方正仿宋_GBK" w:cs="方正仿宋_GBK"/>
          <w:b w:val="0"/>
          <w:bCs w:val="0"/>
          <w:color w:val="auto"/>
          <w:kern w:val="0"/>
          <w:sz w:val="32"/>
          <w:szCs w:val="32"/>
          <w:highlight w:val="none"/>
          <w:lang w:val="en-US" w:eastAsia="zh-CN"/>
        </w:rPr>
        <w:t>合同到期或结算金额到达预算金额，则合同自动终止。</w:t>
      </w:r>
      <w:r>
        <w:rPr>
          <w:rFonts w:hint="eastAsia" w:ascii="方正仿宋_GBK" w:hAnsi="方正仿宋_GBK" w:eastAsia="方正仿宋_GBK" w:cs="方正仿宋_GBK"/>
          <w:b w:val="0"/>
          <w:bCs w:val="0"/>
          <w:color w:val="auto"/>
          <w:kern w:val="0"/>
          <w:sz w:val="32"/>
          <w:szCs w:val="32"/>
          <w:highlight w:val="none"/>
          <w:lang w:val="en-US" w:eastAsia="zh-CN"/>
        </w:rPr>
        <w:t>成交供应商在接到成交通知后20日内与采购人签订采购合同和廉政购</w:t>
      </w:r>
      <w:r>
        <w:rPr>
          <w:rFonts w:hint="eastAsia" w:ascii="方正仿宋_GBK" w:hAnsi="方正仿宋_GBK" w:eastAsia="方正仿宋_GBK" w:cs="方正仿宋_GBK"/>
          <w:color w:val="auto"/>
          <w:kern w:val="0"/>
          <w:sz w:val="32"/>
          <w:szCs w:val="32"/>
          <w:highlight w:val="none"/>
          <w:lang w:val="en-US" w:eastAsia="zh-CN"/>
        </w:rPr>
        <w:t>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本项目要求供应商自中选后，在接到采购方通知后五个工作日内送到，紧急情况24小时内送货上门。在货源紧张时采购方享受优先供货权。</w:t>
      </w:r>
    </w:p>
    <w:p w14:paraId="5BA598E3">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086FA410">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供应商投标时须同时线下向采购人提供至少10个所投产品样品</w:t>
      </w:r>
      <w:r>
        <w:rPr>
          <w:rFonts w:hint="eastAsia" w:ascii="方正仿宋_GBK" w:hAnsi="方正仿宋_GBK" w:eastAsia="方正仿宋_GBK" w:cs="方正仿宋_GBK"/>
          <w:color w:val="auto"/>
          <w:kern w:val="0"/>
          <w:sz w:val="32"/>
          <w:szCs w:val="32"/>
          <w:highlight w:val="none"/>
          <w:lang w:val="en-US" w:eastAsia="zh-CN"/>
        </w:rPr>
        <w:t>，采购方根据供应商排名依次试用。接收人采购办罗老师（电话：02341880277）。</w:t>
      </w:r>
    </w:p>
    <w:p w14:paraId="1B02B36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样品要求旨在查验样品是否与招标文件相符及有无其他质量问题，并以此作为双方签订合同的依据。样品查验后由采购方留存保管，供应商实际交付的产品需与样品保持一致，履约验收合格后退还或作为交付货物的一部分。</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1B590E9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按季度支付货款，付款时供应商提供合法发票、送货单等。如发现供应商提供虚假发票将把供应商列入院内不良记录供应商库，同时采购人有权拒绝支付发票内容的款项，并向有关部门进行举报。</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由于璧山区各行政事业单位账户统一在重庆市璧山区财政局开设，采购人验收合格完成支付审批流程后，需向财政局提交资金支付申请，由财政按相关制度逐级审批后完成支付。</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按照采购招标文件对产品性能及参数逐项验收。验收及使用中发现产品质量争议按照验收争议进行处理；验收争议时由采购人邀请第三方机构检测，费用由供应商承担。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（七）售后服务</w:t>
      </w:r>
    </w:p>
    <w:p w14:paraId="3312033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（1）产品质保不少于3年，时间从双方验收确认签字入库起开始计算；质保期内非人为损坏免费更换。</w:t>
      </w:r>
    </w:p>
    <w:p w14:paraId="5A3682B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（2）产品送达指定位置时，有效期不少于产品说明有效期五分之四，临近效期（3个月内）免费更换。</w:t>
      </w:r>
    </w:p>
    <w:p w14:paraId="48A0FAB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（3）故障响应要求30分钟电话响应，4小时到达医院处置。</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06753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供应商在签订合同之前向采购方缴纳履约保证金，保证金金额为供应商中标单价*预估使用量*10%，产品质量争议采购方有权要求供应商承担产品司法鉴定费用，拒绝承担的，采购方有权从履约保证金中抵扣。</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D05A04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按规定时限供货第一次承担500元违约金，第二次承担1000元违约金，第三次承担2000元违约金，一年内发生3次违约行为的，采购方有权单方面解除合同，并要求供应商承担合同发生总额30%的违约金。验收不合格或使用中发现产品质量缺陷，采购方有权要求供应商整改，整改期限为10日，整改期限届满仍未完成的，供应商每日支付合同发生总金额3‰的违约金，超过20日未能完成整改，采购方有权解除合同，并要求供应商承担合同发生总额30%的违约金，已经付款的，供应商应全款退还采购方已经支付的款项。未按售后服务要求提供服务的，供应商承担200元/次的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产品故障问题供应商未及时响应造成严重后果等情形），应赔偿对采购人造成的直接和间接损失全额损失及承担相应法律责任。合同履行期间发生争议，协商无果由重庆市璧山区人民法院裁决。</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产品出现不良事件；</w:t>
      </w:r>
      <w:r>
        <w:rPr>
          <w:rFonts w:hint="eastAsia" w:ascii="方正仿宋_GBK" w:hAnsi="方正仿宋_GBK" w:eastAsia="方正仿宋_GBK" w:cs="方正仿宋_GBK"/>
          <w:color w:val="auto"/>
          <w:kern w:val="0"/>
          <w:sz w:val="32"/>
          <w:szCs w:val="32"/>
          <w:highlight w:val="none"/>
          <w:lang w:val="en-US" w:eastAsia="zh-CN"/>
        </w:rPr>
        <w:t>合同周期内出现3次及以上违约送货行为；</w:t>
      </w:r>
      <w:r>
        <w:rPr>
          <w:rFonts w:hint="eastAsia" w:ascii="方正仿宋_GBK" w:hAnsi="方正仿宋_GBK" w:eastAsia="方正仿宋_GBK" w:cs="方正仿宋_GBK"/>
          <w:b w:val="0"/>
          <w:bCs w:val="0"/>
          <w:color w:val="auto"/>
          <w:kern w:val="0"/>
          <w:sz w:val="32"/>
          <w:szCs w:val="32"/>
          <w:highlight w:val="none"/>
          <w:lang w:val="en-US" w:eastAsia="zh-CN"/>
        </w:rPr>
        <w:t>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28229747"/>
      <w:bookmarkStart w:id="1" w:name="_Toc173677399"/>
      <w:bookmarkStart w:id="2" w:name="_Toc128014297"/>
      <w:bookmarkStart w:id="3" w:name="_Toc156196472"/>
      <w:bookmarkStart w:id="4" w:name="_Toc237057793"/>
      <w:bookmarkStart w:id="5" w:name="_Toc128229304"/>
      <w:bookmarkStart w:id="6" w:name="_Toc175017344"/>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愿意按照询价采购文件中的一切要求，提供本项目的产品，报单价为：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元/个，</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r>
        <w:rPr>
          <w:rFonts w:hint="eastAsia" w:ascii="方正仿宋_GBK" w:hAnsi="方正仿宋_GBK" w:eastAsia="方正仿宋_GBK" w:cs="方正仿宋_GBK"/>
          <w:sz w:val="32"/>
          <w:szCs w:val="32"/>
          <w:highlight w:val="none"/>
          <w:lang w:val="en-US" w:eastAsia="zh-CN"/>
        </w:rPr>
        <w:t>/个</w:t>
      </w:r>
      <w:r>
        <w:rPr>
          <w:rFonts w:hint="eastAsia" w:ascii="方正仿宋_GBK" w:hAnsi="方正仿宋_GBK" w:eastAsia="方正仿宋_GBK" w:cs="方正仿宋_GBK"/>
          <w:sz w:val="32"/>
          <w:szCs w:val="32"/>
          <w:highlight w:val="none"/>
          <w:lang w:val="en-US"/>
        </w:rPr>
        <w:t>。</w:t>
      </w:r>
    </w:p>
    <w:p w14:paraId="10994537">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ABADC3BC"/>
    <w:multiLevelType w:val="singleLevel"/>
    <w:tmpl w:val="ABADC3BC"/>
    <w:lvl w:ilvl="0" w:tentative="0">
      <w:start w:val="4"/>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6E6279"/>
    <w:rsid w:val="38A14340"/>
    <w:rsid w:val="38F71DB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9927A9"/>
    <w:rsid w:val="71A165C4"/>
    <w:rsid w:val="71C02C3F"/>
    <w:rsid w:val="727B2178"/>
    <w:rsid w:val="72BB5C94"/>
    <w:rsid w:val="72FB7C35"/>
    <w:rsid w:val="730E59A8"/>
    <w:rsid w:val="732B3BA9"/>
    <w:rsid w:val="737511A4"/>
    <w:rsid w:val="73B01AE0"/>
    <w:rsid w:val="743B31FA"/>
    <w:rsid w:val="74463A57"/>
    <w:rsid w:val="744825B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7243</Words>
  <Characters>7494</Characters>
  <Lines>0</Lines>
  <Paragraphs>0</Paragraphs>
  <TotalTime>7</TotalTime>
  <ScaleCrop>false</ScaleCrop>
  <LinksUpToDate>false</LinksUpToDate>
  <CharactersWithSpaces>8156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2026-09-29T08:46:27Z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