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bookmarkStart w:id="7" w:name="_GoBack"/>
      <w:bookmarkEnd w:id="7"/>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项目名称：人文建设项目“爱心包”（第二次）</w:t>
      </w:r>
    </w:p>
    <w:p w14:paraId="4D3C850F">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项目编号：BSRMYY-YNCG-2026-10003</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502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99"/>
        <w:gridCol w:w="1161"/>
        <w:gridCol w:w="1646"/>
        <w:gridCol w:w="1275"/>
        <w:gridCol w:w="2213"/>
        <w:gridCol w:w="1800"/>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495" w:type="pct"/>
            <w:gridSpan w:val="2"/>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831"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预估量</w:t>
            </w:r>
          </w:p>
        </w:tc>
        <w:tc>
          <w:tcPr>
            <w:tcW w:w="644"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118"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单价限价（元）</w:t>
            </w:r>
          </w:p>
        </w:tc>
        <w:tc>
          <w:tcPr>
            <w:tcW w:w="909" w:type="pct"/>
            <w:vAlign w:val="center"/>
          </w:tcPr>
          <w:p w14:paraId="01B9DA0C">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2" w:hRule="atLeast"/>
          <w:jc w:val="center"/>
        </w:trPr>
        <w:tc>
          <w:tcPr>
            <w:tcW w:w="909" w:type="pct"/>
            <w:vMerge w:val="restart"/>
            <w:shd w:val="clear" w:color="auto" w:fill="auto"/>
            <w:vAlign w:val="center"/>
          </w:tcPr>
          <w:p w14:paraId="6238589F">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人文建设项目“爱心包</w:t>
            </w:r>
          </w:p>
        </w:tc>
        <w:tc>
          <w:tcPr>
            <w:tcW w:w="586"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包装袋</w:t>
            </w:r>
          </w:p>
        </w:tc>
        <w:tc>
          <w:tcPr>
            <w:tcW w:w="831"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17000</w:t>
            </w:r>
          </w:p>
        </w:tc>
        <w:tc>
          <w:tcPr>
            <w:tcW w:w="644"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个</w:t>
            </w:r>
          </w:p>
        </w:tc>
        <w:tc>
          <w:tcPr>
            <w:tcW w:w="1118"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1.89</w:t>
            </w:r>
          </w:p>
        </w:tc>
        <w:tc>
          <w:tcPr>
            <w:tcW w:w="909" w:type="pct"/>
            <w:vAlign w:val="center"/>
          </w:tcPr>
          <w:p w14:paraId="4CC138C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32130</w:t>
            </w:r>
          </w:p>
        </w:tc>
      </w:tr>
      <w:tr w14:paraId="5D300F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2" w:hRule="atLeast"/>
          <w:jc w:val="center"/>
        </w:trPr>
        <w:tc>
          <w:tcPr>
            <w:tcW w:w="909" w:type="pct"/>
            <w:vMerge w:val="continue"/>
            <w:shd w:val="clear" w:color="auto" w:fill="auto"/>
            <w:vAlign w:val="center"/>
          </w:tcPr>
          <w:p w14:paraId="5D5A1D4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586" w:type="pct"/>
            <w:shd w:val="clear" w:color="auto" w:fill="auto"/>
            <w:vAlign w:val="center"/>
          </w:tcPr>
          <w:p w14:paraId="6E4E9174">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吸管</w:t>
            </w:r>
          </w:p>
        </w:tc>
        <w:tc>
          <w:tcPr>
            <w:tcW w:w="831" w:type="pct"/>
            <w:vAlign w:val="center"/>
          </w:tcPr>
          <w:p w14:paraId="460C12D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15000</w:t>
            </w:r>
          </w:p>
        </w:tc>
        <w:tc>
          <w:tcPr>
            <w:tcW w:w="644" w:type="pct"/>
            <w:vAlign w:val="center"/>
          </w:tcPr>
          <w:p w14:paraId="38134673">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根</w:t>
            </w:r>
          </w:p>
        </w:tc>
        <w:tc>
          <w:tcPr>
            <w:tcW w:w="1118" w:type="pct"/>
            <w:vAlign w:val="center"/>
          </w:tcPr>
          <w:p w14:paraId="2967A63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0.02</w:t>
            </w:r>
          </w:p>
        </w:tc>
        <w:tc>
          <w:tcPr>
            <w:tcW w:w="909" w:type="pct"/>
            <w:vAlign w:val="center"/>
          </w:tcPr>
          <w:p w14:paraId="725CBCB5">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300</w:t>
            </w:r>
          </w:p>
        </w:tc>
      </w:tr>
      <w:tr w14:paraId="08572D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95" w:hRule="atLeast"/>
          <w:jc w:val="center"/>
        </w:trPr>
        <w:tc>
          <w:tcPr>
            <w:tcW w:w="909" w:type="pct"/>
            <w:vMerge w:val="continue"/>
            <w:shd w:val="clear" w:color="auto" w:fill="auto"/>
            <w:vAlign w:val="center"/>
          </w:tcPr>
          <w:p w14:paraId="0F079F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586" w:type="pct"/>
            <w:shd w:val="clear" w:color="auto" w:fill="auto"/>
            <w:vAlign w:val="center"/>
          </w:tcPr>
          <w:p w14:paraId="79DF9EA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耳塞</w:t>
            </w:r>
          </w:p>
        </w:tc>
        <w:tc>
          <w:tcPr>
            <w:tcW w:w="831" w:type="pct"/>
            <w:vAlign w:val="center"/>
          </w:tcPr>
          <w:p w14:paraId="5AE9EFA0">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15000</w:t>
            </w:r>
          </w:p>
        </w:tc>
        <w:tc>
          <w:tcPr>
            <w:tcW w:w="644" w:type="pct"/>
            <w:vAlign w:val="center"/>
          </w:tcPr>
          <w:p w14:paraId="45D20E69">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对</w:t>
            </w:r>
          </w:p>
        </w:tc>
        <w:tc>
          <w:tcPr>
            <w:tcW w:w="1118" w:type="pct"/>
            <w:vAlign w:val="center"/>
          </w:tcPr>
          <w:p w14:paraId="0BFD76B5">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0.16</w:t>
            </w:r>
          </w:p>
        </w:tc>
        <w:tc>
          <w:tcPr>
            <w:tcW w:w="909" w:type="pct"/>
            <w:vAlign w:val="center"/>
          </w:tcPr>
          <w:p w14:paraId="1682AE9D">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2400</w:t>
            </w:r>
          </w:p>
        </w:tc>
      </w:tr>
      <w:tr w14:paraId="666445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5" w:hRule="atLeast"/>
          <w:jc w:val="center"/>
        </w:trPr>
        <w:tc>
          <w:tcPr>
            <w:tcW w:w="909" w:type="pct"/>
            <w:vMerge w:val="continue"/>
            <w:shd w:val="clear" w:color="auto" w:fill="auto"/>
            <w:vAlign w:val="center"/>
          </w:tcPr>
          <w:p w14:paraId="48AB9B10">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586" w:type="pct"/>
            <w:shd w:val="clear" w:color="auto" w:fill="auto"/>
            <w:vAlign w:val="center"/>
          </w:tcPr>
          <w:p w14:paraId="76A0B0B0">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眼罩</w:t>
            </w:r>
          </w:p>
        </w:tc>
        <w:tc>
          <w:tcPr>
            <w:tcW w:w="831" w:type="pct"/>
            <w:vAlign w:val="center"/>
          </w:tcPr>
          <w:p w14:paraId="6B0A9A85">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15000</w:t>
            </w:r>
          </w:p>
        </w:tc>
        <w:tc>
          <w:tcPr>
            <w:tcW w:w="644" w:type="pct"/>
            <w:vAlign w:val="center"/>
          </w:tcPr>
          <w:p w14:paraId="5011D79D">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个</w:t>
            </w:r>
          </w:p>
        </w:tc>
        <w:tc>
          <w:tcPr>
            <w:tcW w:w="1118" w:type="pct"/>
            <w:vAlign w:val="center"/>
          </w:tcPr>
          <w:p w14:paraId="3BFE82F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3.3</w:t>
            </w:r>
          </w:p>
        </w:tc>
        <w:tc>
          <w:tcPr>
            <w:tcW w:w="909" w:type="pct"/>
            <w:vAlign w:val="center"/>
          </w:tcPr>
          <w:p w14:paraId="0715D22D">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49500</w:t>
            </w:r>
          </w:p>
        </w:tc>
      </w:tr>
      <w:tr w14:paraId="3E8F98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5" w:hRule="atLeast"/>
          <w:jc w:val="center"/>
        </w:trPr>
        <w:tc>
          <w:tcPr>
            <w:tcW w:w="909" w:type="pct"/>
            <w:vMerge w:val="continue"/>
            <w:shd w:val="clear" w:color="auto" w:fill="auto"/>
            <w:vAlign w:val="center"/>
          </w:tcPr>
          <w:p w14:paraId="5C3E40B9">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586" w:type="pct"/>
            <w:shd w:val="clear" w:color="auto" w:fill="auto"/>
            <w:vAlign w:val="center"/>
          </w:tcPr>
          <w:p w14:paraId="52AD7F8A">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洗脸巾</w:t>
            </w:r>
          </w:p>
        </w:tc>
        <w:tc>
          <w:tcPr>
            <w:tcW w:w="831" w:type="pct"/>
            <w:vAlign w:val="center"/>
          </w:tcPr>
          <w:p w14:paraId="5F690833">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2000</w:t>
            </w:r>
          </w:p>
        </w:tc>
        <w:tc>
          <w:tcPr>
            <w:tcW w:w="644" w:type="pct"/>
            <w:vAlign w:val="center"/>
          </w:tcPr>
          <w:p w14:paraId="1F51F9CC">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张</w:t>
            </w:r>
          </w:p>
        </w:tc>
        <w:tc>
          <w:tcPr>
            <w:tcW w:w="1118" w:type="pct"/>
            <w:vAlign w:val="center"/>
          </w:tcPr>
          <w:p w14:paraId="4010DBB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2.4</w:t>
            </w:r>
          </w:p>
        </w:tc>
        <w:tc>
          <w:tcPr>
            <w:tcW w:w="909" w:type="pct"/>
            <w:vAlign w:val="center"/>
          </w:tcPr>
          <w:p w14:paraId="51472964">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4800</w:t>
            </w:r>
          </w:p>
        </w:tc>
      </w:tr>
      <w:tr w14:paraId="26BC04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29" w:hRule="atLeast"/>
          <w:jc w:val="center"/>
        </w:trPr>
        <w:tc>
          <w:tcPr>
            <w:tcW w:w="909" w:type="pct"/>
            <w:vMerge w:val="continue"/>
            <w:shd w:val="clear" w:color="auto" w:fill="auto"/>
            <w:vAlign w:val="center"/>
          </w:tcPr>
          <w:p w14:paraId="20E2A8C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3181" w:type="pct"/>
            <w:gridSpan w:val="4"/>
            <w:shd w:val="clear" w:color="auto" w:fill="auto"/>
            <w:vAlign w:val="center"/>
          </w:tcPr>
          <w:p w14:paraId="57EFC91E">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w:t>
            </w:r>
          </w:p>
        </w:tc>
        <w:tc>
          <w:tcPr>
            <w:tcW w:w="909" w:type="pct"/>
            <w:vAlign w:val="center"/>
          </w:tcPr>
          <w:p w14:paraId="4FFCBCCC">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89130</w:t>
            </w:r>
          </w:p>
        </w:tc>
      </w:tr>
    </w:tbl>
    <w:p w14:paraId="6ACE0191">
      <w:pPr>
        <w:pStyle w:val="26"/>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备注：预估用量不做采购承诺，招采1年单价，合同期间以实际用量据实结算，合同到期或结算金额到达预算金额，则合同自动终止；本项目仅针对国产产品，不予接受进口产品响应。</w:t>
      </w:r>
    </w:p>
    <w:p w14:paraId="3AC97B9E">
      <w:pPr>
        <w:pStyle w:val="26"/>
        <w:numPr>
          <w:ilvl w:val="0"/>
          <w:numId w:val="3"/>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技术要求（须完全响应）</w:t>
      </w:r>
    </w:p>
    <w:tbl>
      <w:tblPr>
        <w:tblStyle w:val="15"/>
        <w:tblW w:w="10390" w:type="dxa"/>
        <w:tblInd w:w="-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4405"/>
        <w:gridCol w:w="3068"/>
        <w:gridCol w:w="1513"/>
      </w:tblGrid>
      <w:tr w14:paraId="797F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404" w:type="dxa"/>
            <w:vAlign w:val="center"/>
          </w:tcPr>
          <w:p w14:paraId="40DC1A76">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项目名称</w:t>
            </w:r>
          </w:p>
        </w:tc>
        <w:tc>
          <w:tcPr>
            <w:tcW w:w="4405" w:type="dxa"/>
            <w:vAlign w:val="center"/>
          </w:tcPr>
          <w:p w14:paraId="0E66F658">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参数要求</w:t>
            </w:r>
          </w:p>
        </w:tc>
        <w:tc>
          <w:tcPr>
            <w:tcW w:w="3068" w:type="dxa"/>
            <w:vAlign w:val="center"/>
          </w:tcPr>
          <w:p w14:paraId="045600D6">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参考图片</w:t>
            </w:r>
          </w:p>
        </w:tc>
        <w:tc>
          <w:tcPr>
            <w:tcW w:w="1513" w:type="dxa"/>
            <w:vAlign w:val="center"/>
          </w:tcPr>
          <w:p w14:paraId="5A45D48C">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备注</w:t>
            </w:r>
          </w:p>
        </w:tc>
      </w:tr>
      <w:tr w14:paraId="53CB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trPr>
        <w:tc>
          <w:tcPr>
            <w:tcW w:w="1404" w:type="dxa"/>
            <w:vAlign w:val="center"/>
          </w:tcPr>
          <w:p w14:paraId="4706F581">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包装袋</w:t>
            </w:r>
          </w:p>
        </w:tc>
        <w:tc>
          <w:tcPr>
            <w:tcW w:w="4405" w:type="dxa"/>
            <w:vAlign w:val="center"/>
          </w:tcPr>
          <w:p w14:paraId="704F3949">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50梭，17*23cm，双面采用热转印方式定制内容</w:t>
            </w:r>
          </w:p>
        </w:tc>
        <w:tc>
          <w:tcPr>
            <w:tcW w:w="3068" w:type="dxa"/>
          </w:tcPr>
          <w:p w14:paraId="596DCD8F">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sz w:val="28"/>
                <w:szCs w:val="28"/>
                <w:highlight w:val="none"/>
              </w:rPr>
              <w:drawing>
                <wp:inline distT="0" distB="0" distL="114300" distR="114300">
                  <wp:extent cx="722630" cy="671830"/>
                  <wp:effectExtent l="0" t="0" r="1270" b="1397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4"/>
                          <a:stretch>
                            <a:fillRect/>
                          </a:stretch>
                        </pic:blipFill>
                        <pic:spPr>
                          <a:xfrm>
                            <a:off x="0" y="0"/>
                            <a:ext cx="722630" cy="671830"/>
                          </a:xfrm>
                          <a:prstGeom prst="rect">
                            <a:avLst/>
                          </a:prstGeom>
                          <a:noFill/>
                          <a:ln w="9525">
                            <a:noFill/>
                          </a:ln>
                        </pic:spPr>
                      </pic:pic>
                    </a:graphicData>
                  </a:graphic>
                </wp:inline>
              </w:drawing>
            </w:r>
            <w:r>
              <w:rPr>
                <w:sz w:val="28"/>
                <w:szCs w:val="28"/>
                <w:highlight w:val="none"/>
              </w:rPr>
              <w:drawing>
                <wp:inline distT="0" distB="0" distL="114300" distR="114300">
                  <wp:extent cx="728980" cy="658495"/>
                  <wp:effectExtent l="0" t="0" r="13970" b="825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5"/>
                          <a:stretch>
                            <a:fillRect/>
                          </a:stretch>
                        </pic:blipFill>
                        <pic:spPr>
                          <a:xfrm>
                            <a:off x="0" y="0"/>
                            <a:ext cx="728980" cy="658495"/>
                          </a:xfrm>
                          <a:prstGeom prst="rect">
                            <a:avLst/>
                          </a:prstGeom>
                          <a:noFill/>
                          <a:ln w="9525">
                            <a:noFill/>
                          </a:ln>
                        </pic:spPr>
                      </pic:pic>
                    </a:graphicData>
                  </a:graphic>
                </wp:inline>
              </w:drawing>
            </w:r>
          </w:p>
        </w:tc>
        <w:tc>
          <w:tcPr>
            <w:tcW w:w="1513" w:type="dxa"/>
            <w:vAlign w:val="center"/>
          </w:tcPr>
          <w:p w14:paraId="6DB32685">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样品5个</w:t>
            </w:r>
          </w:p>
        </w:tc>
      </w:tr>
      <w:tr w14:paraId="3F7E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1404" w:type="dxa"/>
            <w:vAlign w:val="center"/>
          </w:tcPr>
          <w:p w14:paraId="220B8289">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吸管</w:t>
            </w:r>
          </w:p>
        </w:tc>
        <w:tc>
          <w:tcPr>
            <w:tcW w:w="4405" w:type="dxa"/>
            <w:vAlign w:val="center"/>
          </w:tcPr>
          <w:p w14:paraId="4515930B">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食品级塑料，0.6*21cm</w:t>
            </w:r>
          </w:p>
        </w:tc>
        <w:tc>
          <w:tcPr>
            <w:tcW w:w="3068" w:type="dxa"/>
          </w:tcPr>
          <w:p w14:paraId="68D77579">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sz w:val="28"/>
                <w:szCs w:val="28"/>
                <w:highlight w:val="none"/>
              </w:rPr>
              <w:drawing>
                <wp:inline distT="0" distB="0" distL="114300" distR="114300">
                  <wp:extent cx="1130935" cy="861060"/>
                  <wp:effectExtent l="0" t="0" r="12065" b="1524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6"/>
                          <a:stretch>
                            <a:fillRect/>
                          </a:stretch>
                        </pic:blipFill>
                        <pic:spPr>
                          <a:xfrm>
                            <a:off x="0" y="0"/>
                            <a:ext cx="1130935" cy="861060"/>
                          </a:xfrm>
                          <a:prstGeom prst="rect">
                            <a:avLst/>
                          </a:prstGeom>
                          <a:noFill/>
                          <a:ln w="9525">
                            <a:noFill/>
                          </a:ln>
                        </pic:spPr>
                      </pic:pic>
                    </a:graphicData>
                  </a:graphic>
                </wp:inline>
              </w:drawing>
            </w:r>
          </w:p>
        </w:tc>
        <w:tc>
          <w:tcPr>
            <w:tcW w:w="1513" w:type="dxa"/>
            <w:vAlign w:val="center"/>
          </w:tcPr>
          <w:p w14:paraId="1B2D5D9D">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样品5根</w:t>
            </w:r>
          </w:p>
        </w:tc>
      </w:tr>
      <w:tr w14:paraId="66CA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1404" w:type="dxa"/>
            <w:vAlign w:val="center"/>
          </w:tcPr>
          <w:p w14:paraId="05A53127">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耳塞</w:t>
            </w:r>
          </w:p>
        </w:tc>
        <w:tc>
          <w:tcPr>
            <w:tcW w:w="4405" w:type="dxa"/>
            <w:vAlign w:val="center"/>
          </w:tcPr>
          <w:p w14:paraId="023F818F">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静音棉，成人款</w:t>
            </w:r>
          </w:p>
        </w:tc>
        <w:tc>
          <w:tcPr>
            <w:tcW w:w="3068" w:type="dxa"/>
          </w:tcPr>
          <w:p w14:paraId="0671B077">
            <w:pPr>
              <w:pStyle w:val="26"/>
              <w:widowControl w:val="0"/>
              <w:numPr>
                <w:ilvl w:val="0"/>
                <w:numId w:val="0"/>
              </w:numPr>
              <w:rPr>
                <w:rFonts w:hint="eastAsia" w:ascii="方正仿宋_GBK" w:hAnsi="方正仿宋_GBK" w:eastAsia="方正仿宋_GBK" w:cs="方正仿宋_GBK"/>
                <w:b/>
                <w:bCs/>
                <w:kern w:val="0"/>
                <w:sz w:val="28"/>
                <w:szCs w:val="28"/>
                <w:highlight w:val="none"/>
                <w:lang w:val="en-US" w:eastAsia="zh-CN" w:bidi="ar-SA"/>
              </w:rPr>
            </w:pPr>
            <w:r>
              <w:rPr>
                <w:highlight w:val="none"/>
              </w:rPr>
              <w:drawing>
                <wp:anchor distT="0" distB="0" distL="114300" distR="114300" simplePos="0" relativeHeight="251662336" behindDoc="0" locked="0" layoutInCell="1" allowOverlap="1">
                  <wp:simplePos x="0" y="0"/>
                  <wp:positionH relativeFrom="column">
                    <wp:posOffset>148590</wp:posOffset>
                  </wp:positionH>
                  <wp:positionV relativeFrom="paragraph">
                    <wp:posOffset>56515</wp:posOffset>
                  </wp:positionV>
                  <wp:extent cx="1308100" cy="744220"/>
                  <wp:effectExtent l="0" t="0" r="6350" b="17780"/>
                  <wp:wrapSquare wrapText="bothSides"/>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7"/>
                          <a:stretch>
                            <a:fillRect/>
                          </a:stretch>
                        </pic:blipFill>
                        <pic:spPr>
                          <a:xfrm>
                            <a:off x="0" y="0"/>
                            <a:ext cx="1308100" cy="744220"/>
                          </a:xfrm>
                          <a:prstGeom prst="rect">
                            <a:avLst/>
                          </a:prstGeom>
                          <a:noFill/>
                          <a:ln w="9525">
                            <a:noFill/>
                          </a:ln>
                        </pic:spPr>
                      </pic:pic>
                    </a:graphicData>
                  </a:graphic>
                </wp:anchor>
              </w:drawing>
            </w:r>
          </w:p>
        </w:tc>
        <w:tc>
          <w:tcPr>
            <w:tcW w:w="1513" w:type="dxa"/>
            <w:vAlign w:val="center"/>
          </w:tcPr>
          <w:p w14:paraId="4BDF90B6">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样品5对</w:t>
            </w:r>
          </w:p>
        </w:tc>
      </w:tr>
      <w:tr w14:paraId="0FCD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1404" w:type="dxa"/>
            <w:vAlign w:val="center"/>
          </w:tcPr>
          <w:p w14:paraId="3813F70F">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眼罩</w:t>
            </w:r>
          </w:p>
        </w:tc>
        <w:tc>
          <w:tcPr>
            <w:tcW w:w="4405" w:type="dxa"/>
            <w:vAlign w:val="center"/>
          </w:tcPr>
          <w:p w14:paraId="6FC94411">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仿真丝，成人款，采用数码方式单面定制内容</w:t>
            </w:r>
          </w:p>
        </w:tc>
        <w:tc>
          <w:tcPr>
            <w:tcW w:w="3068" w:type="dxa"/>
          </w:tcPr>
          <w:p w14:paraId="395DFF1F">
            <w:pPr>
              <w:pStyle w:val="26"/>
              <w:widowControl w:val="0"/>
              <w:numPr>
                <w:ilvl w:val="0"/>
                <w:numId w:val="0"/>
              </w:numPr>
              <w:rPr>
                <w:rFonts w:hint="eastAsia" w:ascii="方正仿宋_GBK" w:hAnsi="方正仿宋_GBK" w:eastAsia="方正仿宋_GBK" w:cs="方正仿宋_GBK"/>
                <w:b/>
                <w:bCs/>
                <w:kern w:val="0"/>
                <w:sz w:val="28"/>
                <w:szCs w:val="28"/>
                <w:highlight w:val="none"/>
                <w:lang w:val="en-US" w:eastAsia="zh-CN" w:bidi="ar-SA"/>
              </w:rPr>
            </w:pPr>
            <w:r>
              <w:rPr>
                <w:sz w:val="28"/>
                <w:szCs w:val="28"/>
                <w:highlight w:val="none"/>
              </w:rPr>
              <w:drawing>
                <wp:inline distT="0" distB="0" distL="114300" distR="114300">
                  <wp:extent cx="783590" cy="328295"/>
                  <wp:effectExtent l="0" t="0" r="16510" b="1460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8"/>
                          <a:stretch>
                            <a:fillRect/>
                          </a:stretch>
                        </pic:blipFill>
                        <pic:spPr>
                          <a:xfrm flipH="1">
                            <a:off x="0" y="0"/>
                            <a:ext cx="783590" cy="328295"/>
                          </a:xfrm>
                          <a:prstGeom prst="rect">
                            <a:avLst/>
                          </a:prstGeom>
                          <a:noFill/>
                          <a:ln w="9525">
                            <a:noFill/>
                          </a:ln>
                        </pic:spPr>
                      </pic:pic>
                    </a:graphicData>
                  </a:graphic>
                </wp:inline>
              </w:drawing>
            </w:r>
            <w:r>
              <w:rPr>
                <w:sz w:val="28"/>
                <w:szCs w:val="28"/>
                <w:highlight w:val="none"/>
              </w:rPr>
              <w:drawing>
                <wp:inline distT="0" distB="0" distL="114300" distR="114300">
                  <wp:extent cx="940435" cy="362585"/>
                  <wp:effectExtent l="0" t="0" r="12065" b="1841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9"/>
                          <a:stretch>
                            <a:fillRect/>
                          </a:stretch>
                        </pic:blipFill>
                        <pic:spPr>
                          <a:xfrm>
                            <a:off x="0" y="0"/>
                            <a:ext cx="940435" cy="362585"/>
                          </a:xfrm>
                          <a:prstGeom prst="rect">
                            <a:avLst/>
                          </a:prstGeom>
                          <a:noFill/>
                          <a:ln w="9525">
                            <a:noFill/>
                          </a:ln>
                        </pic:spPr>
                      </pic:pic>
                    </a:graphicData>
                  </a:graphic>
                </wp:inline>
              </w:drawing>
            </w:r>
            <w:r>
              <w:rPr>
                <w:sz w:val="28"/>
                <w:szCs w:val="28"/>
                <w:highlight w:val="none"/>
              </w:rPr>
              <w:drawing>
                <wp:inline distT="0" distB="0" distL="114300" distR="114300">
                  <wp:extent cx="914400" cy="437515"/>
                  <wp:effectExtent l="0" t="0" r="0" b="63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0"/>
                          <a:stretch>
                            <a:fillRect/>
                          </a:stretch>
                        </pic:blipFill>
                        <pic:spPr>
                          <a:xfrm>
                            <a:off x="0" y="0"/>
                            <a:ext cx="914400" cy="437515"/>
                          </a:xfrm>
                          <a:prstGeom prst="rect">
                            <a:avLst/>
                          </a:prstGeom>
                          <a:noFill/>
                          <a:ln w="9525">
                            <a:noFill/>
                          </a:ln>
                        </pic:spPr>
                      </pic:pic>
                    </a:graphicData>
                  </a:graphic>
                </wp:inline>
              </w:drawing>
            </w:r>
          </w:p>
        </w:tc>
        <w:tc>
          <w:tcPr>
            <w:tcW w:w="1513" w:type="dxa"/>
            <w:vAlign w:val="center"/>
          </w:tcPr>
          <w:p w14:paraId="63792934">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样品5个</w:t>
            </w:r>
          </w:p>
        </w:tc>
      </w:tr>
      <w:tr w14:paraId="7ED4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trPr>
        <w:tc>
          <w:tcPr>
            <w:tcW w:w="1404" w:type="dxa"/>
            <w:vAlign w:val="center"/>
          </w:tcPr>
          <w:p w14:paraId="6022B39E">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洗脸巾</w:t>
            </w:r>
          </w:p>
        </w:tc>
        <w:tc>
          <w:tcPr>
            <w:tcW w:w="4405" w:type="dxa"/>
            <w:vAlign w:val="center"/>
          </w:tcPr>
          <w:p w14:paraId="020AED6C">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珊瑚绒，软布条包边，25*25cm，单面定制内容使用刺绣，交货时需叠成参考图片中样式</w:t>
            </w:r>
          </w:p>
        </w:tc>
        <w:tc>
          <w:tcPr>
            <w:tcW w:w="3068" w:type="dxa"/>
          </w:tcPr>
          <w:p w14:paraId="4FDDEBB4">
            <w:pPr>
              <w:pStyle w:val="26"/>
              <w:widowControl w:val="0"/>
              <w:numPr>
                <w:ilvl w:val="0"/>
                <w:numId w:val="0"/>
              </w:numPr>
              <w:rPr>
                <w:rFonts w:hint="eastAsia" w:ascii="方正仿宋_GBK" w:hAnsi="方正仿宋_GBK" w:eastAsia="方正仿宋_GBK" w:cs="方正仿宋_GBK"/>
                <w:b/>
                <w:bCs/>
                <w:kern w:val="0"/>
                <w:sz w:val="28"/>
                <w:szCs w:val="28"/>
                <w:highlight w:val="none"/>
                <w:lang w:val="en-US" w:eastAsia="zh-CN" w:bidi="ar-SA"/>
              </w:rPr>
            </w:pPr>
            <w:r>
              <w:rPr>
                <w:highlight w:val="none"/>
              </w:rPr>
              <w:drawing>
                <wp:anchor distT="0" distB="0" distL="114300" distR="114300" simplePos="0" relativeHeight="251663360" behindDoc="0" locked="0" layoutInCell="1" allowOverlap="1">
                  <wp:simplePos x="0" y="0"/>
                  <wp:positionH relativeFrom="column">
                    <wp:posOffset>51435</wp:posOffset>
                  </wp:positionH>
                  <wp:positionV relativeFrom="paragraph">
                    <wp:posOffset>123190</wp:posOffset>
                  </wp:positionV>
                  <wp:extent cx="808990" cy="770890"/>
                  <wp:effectExtent l="0" t="0" r="10160" b="10160"/>
                  <wp:wrapSquare wrapText="bothSides"/>
                  <wp:docPr id="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pic:cNvPicPr>
                            <a:picLocks noChangeAspect="1"/>
                          </pic:cNvPicPr>
                        </pic:nvPicPr>
                        <pic:blipFill>
                          <a:blip r:embed="rId11"/>
                          <a:stretch>
                            <a:fillRect/>
                          </a:stretch>
                        </pic:blipFill>
                        <pic:spPr>
                          <a:xfrm>
                            <a:off x="0" y="0"/>
                            <a:ext cx="808990" cy="770890"/>
                          </a:xfrm>
                          <a:prstGeom prst="rect">
                            <a:avLst/>
                          </a:prstGeom>
                          <a:noFill/>
                          <a:ln w="9525">
                            <a:noFill/>
                          </a:ln>
                        </pic:spPr>
                      </pic:pic>
                    </a:graphicData>
                  </a:graphic>
                </wp:anchor>
              </w:drawing>
            </w:r>
            <w:r>
              <w:rPr>
                <w:sz w:val="28"/>
                <w:szCs w:val="28"/>
                <w:highlight w:val="none"/>
              </w:rPr>
              <w:drawing>
                <wp:anchor distT="0" distB="0" distL="114300" distR="114300" simplePos="0" relativeHeight="251661312" behindDoc="0" locked="0" layoutInCell="1" allowOverlap="1">
                  <wp:simplePos x="0" y="0"/>
                  <wp:positionH relativeFrom="column">
                    <wp:posOffset>1097915</wp:posOffset>
                  </wp:positionH>
                  <wp:positionV relativeFrom="paragraph">
                    <wp:posOffset>152400</wp:posOffset>
                  </wp:positionV>
                  <wp:extent cx="597535" cy="725805"/>
                  <wp:effectExtent l="0" t="0" r="12065" b="17145"/>
                  <wp:wrapSquare wrapText="bothSides"/>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2"/>
                          <a:stretch>
                            <a:fillRect/>
                          </a:stretch>
                        </pic:blipFill>
                        <pic:spPr>
                          <a:xfrm>
                            <a:off x="0" y="0"/>
                            <a:ext cx="597535" cy="725805"/>
                          </a:xfrm>
                          <a:prstGeom prst="rect">
                            <a:avLst/>
                          </a:prstGeom>
                          <a:noFill/>
                          <a:ln w="9525">
                            <a:noFill/>
                          </a:ln>
                        </pic:spPr>
                      </pic:pic>
                    </a:graphicData>
                  </a:graphic>
                </wp:anchor>
              </w:drawing>
            </w:r>
          </w:p>
        </w:tc>
        <w:tc>
          <w:tcPr>
            <w:tcW w:w="1513" w:type="dxa"/>
            <w:vAlign w:val="center"/>
          </w:tcPr>
          <w:p w14:paraId="31126582">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样品5张</w:t>
            </w: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本项目招采1年单价，</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包括但不限于货款、运输装卸、质保期维护保养费（含易损件更换）、资料装订及邮寄费、税费、保险费、验收检测费、信息系统对接接口费等完成本项目所需的一切费用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。合同期内产品单价浮动15%以内单价不变，超过15%重新协商，协商不成重新招采。</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本项目要求供应商自中选后，在接到采购方通知后十五个工作日内送到，紧急情况24小时内送货上门。在货源紧张时采购方享受优先供货权。</w:t>
      </w:r>
    </w:p>
    <w:p w14:paraId="5BA598E3">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086FA410">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供应商投标时须同时线下向采购人提供所投产品样品各5个，采购方根据供应商排名依次试用。接收人采购办罗老师（电话：02341880277）。</w:t>
      </w:r>
    </w:p>
    <w:p w14:paraId="1B02B36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样品要求旨在查验样品是否与招标文件相符及有无其他质量问题，并以此作为双方签订合同的依据。样品查验后由采购方留存保管，供应商实际交付的产品需与样品保持一致，履约验收合格后退还或作为交付货物的一部分。</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按季度支付货款，付款时供应商提供合法发票、送货单等。如发现供应商提供虚假发票将把供应商列入院内不良记录供应商库，同时采购人有权拒绝支付发票内容的款项，并向有关部门进行举报。</w:t>
      </w:r>
    </w:p>
    <w:p w14:paraId="69D3372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由于璧山区各行政事业单位账户统一在重庆市璧山区财政局开设，采购人验收合格完成支付审批流程后，需向财政局提交资金支付申请，由财政按相关制度逐级审批后完成支付。</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到货后确认产品规格、材质等参数符合招标文件要求作为初步验收，初步验收无异常进行安装调试，安装调试并试运行1个月无异常才作为最终验收。验收及使用中发现产品质量争议按照验收争议进行处理；验收争议时由采购人邀请第三方机构检测，费用由供应商承担。</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（七）售后服务</w:t>
      </w:r>
    </w:p>
    <w:p w14:paraId="3312033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（1）产品质保期不少于半年；保质期内非人为损坏免费更换。</w:t>
      </w:r>
    </w:p>
    <w:p w14:paraId="5A3682B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（2）产品到院时剩余有效期不得少于总效期的4/5，效期临近的免费更换。</w:t>
      </w:r>
    </w:p>
    <w:p w14:paraId="48A0FAB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（3）故障响应要求30分钟电话响应，4小时到达医院处置。</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067532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ar-SA"/>
        </w:rPr>
      </w:pPr>
      <w:r>
        <w:rPr>
          <w:rFonts w:hint="eastAsia" w:ascii="方正仿宋_GBK" w:hAnsi="方正仿宋_GBK" w:eastAsia="方正仿宋_GBK" w:cs="方正仿宋_GBK"/>
          <w:b w:val="0"/>
          <w:bCs w:val="0"/>
          <w:color w:val="auto"/>
          <w:kern w:val="0"/>
          <w:sz w:val="32"/>
          <w:szCs w:val="32"/>
          <w:highlight w:val="none"/>
          <w:lang w:val="en-US" w:eastAsia="zh-CN" w:bidi="ar-SA"/>
        </w:rPr>
        <w:t>供应商在签订合同之前向采购方缴纳履约保证金，保证金金额为供应商中标单价*预估使用量*10%，产品质量争议采购方有权要求供应商承担产品司法鉴定费用，拒绝承担的，采购方有权从履约保证金中抵扣。</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3D05A04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按规定时限供货第一次承担500元违约金，第二次承担1000元违约金，第三次承担2000元违约金，一年内发生3次违约行为的，采购方有权单方面解除合同，并要求供应商承担合同发生总额30%的违约金。验收不合格或使用中发现产品质量缺陷，采购方有权要求供应商整改，整改期限为10日，整改期限届满仍未完成的，供应商每日支付合同发生总金额3‰的违约金，超过20日未能完成整改，采购方有权解除合同，并要求供应商承担合同发生总额30%的违约金，已经付款的，供应商应全款退还采购方已经支付的款项。未按售后服务要求提供服务的，供应商承担200元/次的违约金。</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因供应商提供的产品或服务原因引发纠纷、造成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产品及服务过程中损害采购人利益、供应商违纪违法行为、供应商提供产品及服务引发安全问题、产品故障问题供应商未及时响应造成严重后果等情形），应赔偿对采购人造成的直接和间接损失全额损失及承担相应法律责任。合同履行期间发生争议，协商无果由重庆市璧山区人民法院裁决。</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出现不良事件；</w:t>
      </w:r>
      <w:r>
        <w:rPr>
          <w:rFonts w:hint="eastAsia" w:ascii="方正仿宋_GBK" w:hAnsi="方正仿宋_GBK" w:eastAsia="方正仿宋_GBK" w:cs="方正仿宋_GBK"/>
          <w:color w:val="auto"/>
          <w:kern w:val="0"/>
          <w:sz w:val="32"/>
          <w:szCs w:val="32"/>
          <w:highlight w:val="none"/>
          <w:lang w:val="en-US" w:eastAsia="zh-CN"/>
        </w:rPr>
        <w:t>合同周期内出现3次及以上违约送货行为；</w:t>
      </w:r>
      <w:r>
        <w:rPr>
          <w:rFonts w:hint="eastAsia" w:ascii="方正仿宋_GBK" w:hAnsi="方正仿宋_GBK" w:eastAsia="方正仿宋_GBK" w:cs="方正仿宋_GBK"/>
          <w:b w:val="0"/>
          <w:bCs w:val="0"/>
          <w:color w:val="auto"/>
          <w:kern w:val="0"/>
          <w:sz w:val="32"/>
          <w:szCs w:val="32"/>
          <w:highlight w:val="none"/>
          <w:lang w:val="en-US" w:eastAsia="zh-CN"/>
        </w:rPr>
        <w:t>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13"/>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14"/>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28014297"/>
      <w:bookmarkStart w:id="1" w:name="_Toc173677399"/>
      <w:bookmarkStart w:id="2" w:name="_Toc175017344"/>
      <w:bookmarkStart w:id="3" w:name="_Toc237057793"/>
      <w:bookmarkStart w:id="4" w:name="_Toc156196472"/>
      <w:bookmarkStart w:id="5" w:name="_Toc128229747"/>
      <w:bookmarkStart w:id="6" w:name="_Toc128229304"/>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5"/>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愿意按照询价采购文件中的一切要求，提供本项目的产品，按预估量报总价为：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10994537">
      <w:pPr>
        <w:pStyle w:val="10"/>
        <w:keepNext w:val="0"/>
        <w:keepLines w:val="0"/>
        <w:pageBreakBefore w:val="0"/>
        <w:widowControl w:val="0"/>
        <w:numPr>
          <w:ilvl w:val="0"/>
          <w:numId w:val="5"/>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6"/>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售后服务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ABADC3BC"/>
    <w:multiLevelType w:val="singleLevel"/>
    <w:tmpl w:val="ABADC3BC"/>
    <w:lvl w:ilvl="0" w:tentative="0">
      <w:start w:val="4"/>
      <w:numFmt w:val="chineseCounting"/>
      <w:suff w:val="nothing"/>
      <w:lvlText w:val="（%1）"/>
      <w:lvlJc w:val="left"/>
      <w:rPr>
        <w:rFonts w:hint="eastAsia"/>
      </w:rPr>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3A86531C"/>
    <w:multiLevelType w:val="singleLevel"/>
    <w:tmpl w:val="3A86531C"/>
    <w:lvl w:ilvl="0" w:tentative="0">
      <w:start w:val="2"/>
      <w:numFmt w:val="chineseCounting"/>
      <w:suff w:val="nothing"/>
      <w:lvlText w:val="%1、"/>
      <w:lvlJc w:val="left"/>
      <w:rPr>
        <w:rFonts w:hint="eastAsia"/>
      </w:rPr>
    </w:lvl>
  </w:abstractNum>
  <w:abstractNum w:abstractNumId="5">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845087"/>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6014A4"/>
    <w:rsid w:val="15D4217A"/>
    <w:rsid w:val="15D96BE2"/>
    <w:rsid w:val="1706559C"/>
    <w:rsid w:val="173C34A4"/>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47C0C4C"/>
    <w:rsid w:val="2657371E"/>
    <w:rsid w:val="278860E5"/>
    <w:rsid w:val="27F4392B"/>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5F5E25"/>
    <w:rsid w:val="376E6279"/>
    <w:rsid w:val="38A14340"/>
    <w:rsid w:val="39215DFD"/>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E490B2A"/>
    <w:rsid w:val="3E9B4AFA"/>
    <w:rsid w:val="3F010273"/>
    <w:rsid w:val="3F5C6F82"/>
    <w:rsid w:val="3F7A35A1"/>
    <w:rsid w:val="3F944074"/>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A1F17"/>
    <w:rsid w:val="5D5B2280"/>
    <w:rsid w:val="5D6C0A93"/>
    <w:rsid w:val="5D915A0E"/>
    <w:rsid w:val="5DBD061A"/>
    <w:rsid w:val="5E3C678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6A28A5"/>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7271</Words>
  <Characters>7530</Characters>
  <Lines>0</Lines>
  <Paragraphs>0</Paragraphs>
  <TotalTime>1</TotalTime>
  <ScaleCrop>false</ScaleCrop>
  <LinksUpToDate>false</LinksUpToDate>
  <CharactersWithSpaces>8191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2026-10-28T09:42:54Z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4B289A792DF1434C85324BA493B0BACE_13</vt:lpwstr>
  </property>
  <property fmtid="{D5CDD505-2E9C-101B-9397-08002B2CF9AE}" pid="4" name="KSOTemplateDocerSaveRecord">
    <vt:lpwstr>eyJoZGlkIjoiZjIyZTUwMGZkZjY4ZmQ3ZDAzMWRkYzFlMGFlZGNhN2YiLCJ1c2VySWQiOiIxMTc2NDE1MTk0In0=</vt:lpwstr>
  </property>
</Properties>
</file>