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项目名称：单道移液器、电泳仪（第三</w:t>
      </w:r>
      <w:bookmarkStart w:id="7" w:name="_GoBack"/>
      <w:bookmarkEnd w:id="7"/>
      <w:r>
        <w:rPr>
          <w:rFonts w:hint="eastAsia"/>
          <w:sz w:val="44"/>
          <w:szCs w:val="44"/>
          <w:highlight w:val="none"/>
          <w:lang w:val="en-US" w:eastAsia="zh-CN"/>
        </w:rPr>
        <w:t>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项目编号：BSRMYY-YNCG-2026-01016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7D9C314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74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5"/>
        <w:gridCol w:w="1455"/>
        <w:gridCol w:w="1425"/>
        <w:gridCol w:w="2220"/>
        <w:gridCol w:w="2220"/>
      </w:tblGrid>
      <w:tr w14:paraId="5C39C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1083" w:type="pct"/>
            <w:vAlign w:val="center"/>
          </w:tcPr>
          <w:p w14:paraId="0E8C799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78" w:type="pct"/>
            <w:vAlign w:val="center"/>
          </w:tcPr>
          <w:p w14:paraId="4AE8EE6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62" w:type="pct"/>
            <w:vAlign w:val="center"/>
          </w:tcPr>
          <w:p w14:paraId="2D4E328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87" w:type="pct"/>
            <w:vAlign w:val="center"/>
          </w:tcPr>
          <w:p w14:paraId="75EEA601">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87" w:type="pct"/>
            <w:vAlign w:val="center"/>
          </w:tcPr>
          <w:p w14:paraId="68AE7F5E">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7B3B5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1083" w:type="pct"/>
            <w:vAlign w:val="center"/>
          </w:tcPr>
          <w:p w14:paraId="3E5754F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单道移液器</w:t>
            </w:r>
          </w:p>
        </w:tc>
        <w:tc>
          <w:tcPr>
            <w:tcW w:w="778" w:type="pct"/>
            <w:vAlign w:val="center"/>
          </w:tcPr>
          <w:p w14:paraId="3C1EA46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762" w:type="pct"/>
            <w:vAlign w:val="center"/>
          </w:tcPr>
          <w:p w14:paraId="63F325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把</w:t>
            </w:r>
          </w:p>
        </w:tc>
        <w:tc>
          <w:tcPr>
            <w:tcW w:w="1187" w:type="pct"/>
            <w:vAlign w:val="center"/>
          </w:tcPr>
          <w:p w14:paraId="4BAB060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2100</w:t>
            </w:r>
          </w:p>
        </w:tc>
        <w:tc>
          <w:tcPr>
            <w:tcW w:w="1187" w:type="pct"/>
            <w:vMerge w:val="restart"/>
            <w:vAlign w:val="center"/>
          </w:tcPr>
          <w:p w14:paraId="2A6D42E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59900</w:t>
            </w:r>
          </w:p>
        </w:tc>
      </w:tr>
      <w:tr w14:paraId="37E5A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1083" w:type="pct"/>
            <w:vAlign w:val="center"/>
          </w:tcPr>
          <w:p w14:paraId="6CBB9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电泳仪</w:t>
            </w:r>
          </w:p>
        </w:tc>
        <w:tc>
          <w:tcPr>
            <w:tcW w:w="778" w:type="pct"/>
            <w:vAlign w:val="center"/>
          </w:tcPr>
          <w:p w14:paraId="7040F56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762" w:type="pct"/>
            <w:vAlign w:val="center"/>
          </w:tcPr>
          <w:p w14:paraId="44B44D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187" w:type="pct"/>
            <w:vAlign w:val="center"/>
          </w:tcPr>
          <w:p w14:paraId="6C8B24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14200</w:t>
            </w:r>
          </w:p>
        </w:tc>
        <w:tc>
          <w:tcPr>
            <w:tcW w:w="1187" w:type="pct"/>
            <w:vMerge w:val="continue"/>
            <w:vAlign w:val="center"/>
          </w:tcPr>
          <w:p w14:paraId="4722AA9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0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5"/>
        <w:gridCol w:w="3409"/>
        <w:gridCol w:w="5129"/>
      </w:tblGrid>
      <w:tr w14:paraId="2F59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9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845AC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25D1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推荐品牌（供应商响应品牌应为采购人推荐品牌）</w:t>
            </w:r>
          </w:p>
        </w:tc>
        <w:tc>
          <w:tcPr>
            <w:tcW w:w="5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584C3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A04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5" w:hRule="atLeast"/>
          <w:jc w:val="center"/>
        </w:trPr>
        <w:tc>
          <w:tcPr>
            <w:tcW w:w="1925" w:type="dxa"/>
            <w:vMerge w:val="restart"/>
            <w:tcBorders>
              <w:top w:val="single" w:color="auto" w:sz="4" w:space="0"/>
              <w:left w:val="single" w:color="auto" w:sz="4" w:space="0"/>
              <w:bottom w:val="single" w:color="auto" w:sz="4" w:space="0"/>
              <w:right w:val="single" w:color="000000" w:sz="4" w:space="0"/>
            </w:tcBorders>
            <w:shd w:val="clear" w:color="auto" w:fill="FFFFFF"/>
            <w:vAlign w:val="center"/>
          </w:tcPr>
          <w:p w14:paraId="544D5D4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单道移液器</w:t>
            </w:r>
          </w:p>
          <w:p w14:paraId="1422E7A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p w14:paraId="6D9C726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c>
          <w:tcPr>
            <w:tcW w:w="3409" w:type="dxa"/>
            <w:tcBorders>
              <w:top w:val="single" w:color="auto" w:sz="4" w:space="0"/>
              <w:left w:val="single" w:color="000000" w:sz="4" w:space="0"/>
              <w:bottom w:val="single" w:color="auto" w:sz="4" w:space="0"/>
              <w:right w:val="single" w:color="000000" w:sz="4" w:space="0"/>
            </w:tcBorders>
            <w:shd w:val="clear" w:color="auto" w:fill="FFFFFF"/>
            <w:vAlign w:val="center"/>
          </w:tcPr>
          <w:p w14:paraId="78ECDF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艾本德（Eppendorf）</w:t>
            </w:r>
          </w:p>
          <w:p w14:paraId="1970F9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赛默飞</w:t>
            </w:r>
          </w:p>
          <w:p w14:paraId="34AAA65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吉尔森</w:t>
            </w:r>
          </w:p>
        </w:tc>
        <w:tc>
          <w:tcPr>
            <w:tcW w:w="5129" w:type="dxa"/>
            <w:vMerge w:val="restart"/>
            <w:tcBorders>
              <w:top w:val="single" w:color="auto" w:sz="4" w:space="0"/>
              <w:left w:val="single" w:color="000000" w:sz="4" w:space="0"/>
              <w:bottom w:val="single" w:color="auto" w:sz="4" w:space="0"/>
              <w:right w:val="single" w:color="auto" w:sz="4" w:space="0"/>
            </w:tcBorders>
            <w:shd w:val="clear" w:color="auto" w:fill="FFFFFF"/>
            <w:vAlign w:val="center"/>
          </w:tcPr>
          <w:p w14:paraId="1D02766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1.重量不超过85g </w:t>
            </w:r>
          </w:p>
          <w:p w14:paraId="0FB830E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2.可整支高温高压灭菌和紫外线灭菌</w:t>
            </w:r>
          </w:p>
          <w:p w14:paraId="46A4D36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3.伸缩式弹性吸嘴设计，可确保吸头装配的气密性和移液均一性 </w:t>
            </w:r>
          </w:p>
          <w:p w14:paraId="0BE73F8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4.密度调节窗口，可适用于甘油、氯化铯等不同密度的液体，通用性更广泛 </w:t>
            </w:r>
          </w:p>
          <w:p w14:paraId="5480B1E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5.四位数字放大体积显示，位置合理，便于移液时观察 </w:t>
            </w:r>
          </w:p>
          <w:p w14:paraId="1FC77A7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 xml:space="preserve">6.需坚固耐用，耐高温抗腐蚀的高科技材质 </w:t>
            </w:r>
          </w:p>
          <w:p w14:paraId="0710698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7.高精度：不准确度≤1.4%，不精确度≤0.7%</w:t>
            </w:r>
          </w:p>
          <w:p w14:paraId="3FBB79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8.具体配置：单道移液器（最大量程分别为2微升*2把、10微升*3把、20微升*3把、100微升*3把、200微升*3把、1000微升*1把）</w:t>
            </w:r>
          </w:p>
        </w:tc>
      </w:tr>
      <w:tr w14:paraId="1FA2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0" w:hRule="atLeast"/>
          <w:jc w:val="center"/>
        </w:trPr>
        <w:tc>
          <w:tcPr>
            <w:tcW w:w="1925" w:type="dxa"/>
            <w:tcBorders>
              <w:top w:val="single" w:color="auto" w:sz="4" w:space="0"/>
              <w:left w:val="single" w:color="auto" w:sz="4" w:space="0"/>
              <w:bottom w:val="single" w:color="auto" w:sz="4" w:space="0"/>
              <w:right w:val="single" w:color="000000" w:sz="4" w:space="0"/>
            </w:tcBorders>
            <w:shd w:val="clear" w:color="auto" w:fill="FFFFFF"/>
            <w:vAlign w:val="center"/>
          </w:tcPr>
          <w:p w14:paraId="1328C6D2">
            <w:pPr>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电泳仪</w:t>
            </w:r>
          </w:p>
          <w:p w14:paraId="45048265">
            <w:pPr>
              <w:jc w:val="center"/>
              <w:rPr>
                <w:rFonts w:hint="eastAsia" w:ascii="方正仿宋_GBK" w:hAnsi="方正仿宋_GBK" w:eastAsia="方正仿宋_GBK" w:cs="方正仿宋_GBK"/>
                <w:b/>
                <w:bCs/>
                <w:kern w:val="0"/>
                <w:sz w:val="28"/>
                <w:szCs w:val="28"/>
                <w:highlight w:val="none"/>
                <w:lang w:val="en-US" w:eastAsia="zh-CN"/>
              </w:rPr>
            </w:pPr>
          </w:p>
        </w:tc>
        <w:tc>
          <w:tcPr>
            <w:tcW w:w="3409" w:type="dxa"/>
            <w:tcBorders>
              <w:top w:val="single" w:color="auto" w:sz="4" w:space="0"/>
              <w:left w:val="single" w:color="000000" w:sz="4" w:space="0"/>
              <w:bottom w:val="single" w:color="auto" w:sz="4" w:space="0"/>
              <w:right w:val="single" w:color="000000" w:sz="4" w:space="0"/>
            </w:tcBorders>
            <w:shd w:val="clear" w:color="auto" w:fill="FFFFFF"/>
            <w:vAlign w:val="center"/>
          </w:tcPr>
          <w:p w14:paraId="70C5C8A5">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伯乐（Bio-rad）</w:t>
            </w:r>
          </w:p>
          <w:p w14:paraId="6D0B5346">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赛默飞</w:t>
            </w:r>
          </w:p>
          <w:p w14:paraId="4F7340F2">
            <w:pPr>
              <w:keepNext w:val="0"/>
              <w:keepLines w:val="0"/>
              <w:widowControl/>
              <w:suppressLineNumbers w:val="0"/>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吉尔森</w:t>
            </w:r>
          </w:p>
        </w:tc>
        <w:tc>
          <w:tcPr>
            <w:tcW w:w="5129" w:type="dxa"/>
            <w:tcBorders>
              <w:top w:val="single" w:color="auto" w:sz="4" w:space="0"/>
              <w:left w:val="single" w:color="000000" w:sz="4" w:space="0"/>
              <w:bottom w:val="single" w:color="auto" w:sz="4" w:space="0"/>
              <w:right w:val="single" w:color="auto" w:sz="4" w:space="0"/>
            </w:tcBorders>
            <w:shd w:val="clear" w:color="auto" w:fill="FFFFFF"/>
            <w:vAlign w:val="center"/>
          </w:tcPr>
          <w:p w14:paraId="058F1D29">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一、垂直电泳系统</w:t>
            </w:r>
          </w:p>
          <w:p w14:paraId="2E08AE79">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1、良好的安全性能，具有空载监测；荷载突变监测；过载/短路监测；过压保护</w:t>
            </w:r>
          </w:p>
          <w:p w14:paraId="51E6FC8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2、电源可恒压、恒流输出</w:t>
            </w:r>
          </w:p>
          <w:p w14:paraId="25178BA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3、可同时输出电源不低于4组</w:t>
            </w:r>
          </w:p>
          <w:p w14:paraId="14A3E95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4、通过国际安全标准—IEC1010-1认证</w:t>
            </w:r>
          </w:p>
          <w:p w14:paraId="34A5EE6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5、具有断电后自动恢复功能</w:t>
            </w:r>
          </w:p>
          <w:p w14:paraId="523809FD">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6、电源电压范围：约10～300V</w:t>
            </w:r>
          </w:p>
          <w:p w14:paraId="1A64700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7、电源电流范围：约4～400mA</w:t>
            </w:r>
          </w:p>
          <w:p w14:paraId="3DD0D30A">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8、电泳槽可同时进行至少4块凝胶电泳</w:t>
            </w:r>
          </w:p>
          <w:p w14:paraId="5776B6C1">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9、胶面积：大于8.2cm X 7.2cm</w:t>
            </w:r>
          </w:p>
          <w:p w14:paraId="04ECA2B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10、凝胶厚度选择需包含0.75mm，1mm，1.5mm</w:t>
            </w:r>
          </w:p>
          <w:p w14:paraId="7BB667FD">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11、2块胶缓冲液总体积：700ml±100ml</w:t>
            </w:r>
          </w:p>
          <w:p w14:paraId="79928D9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12、4块胶缓冲液总体积：1000ml±100ml</w:t>
            </w:r>
          </w:p>
          <w:p w14:paraId="2D70FAA7">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13、长玻璃板具有永久固定的封边垫条</w:t>
            </w:r>
          </w:p>
          <w:p w14:paraId="2B9EC9AA">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14、灌胶架上的弹簧杠杆可在橡胶衬垫上形成良好的密封性，无需用琼脂糖密封</w:t>
            </w:r>
          </w:p>
          <w:p w14:paraId="5A7BB116">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15、电泳槽为注塑一次成形</w:t>
            </w:r>
          </w:p>
          <w:p w14:paraId="532AF5F3">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16、具有上样引导装置</w:t>
            </w:r>
          </w:p>
          <w:p w14:paraId="4453A018">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17、1小时内可同时转印不低于2块7.5×10cm凝胶</w:t>
            </w:r>
          </w:p>
          <w:p w14:paraId="1C88101C">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18、电极丝可产生强电场保证有效的蛋白转印</w:t>
            </w:r>
          </w:p>
          <w:p w14:paraId="0692FD9B">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19、颜色标记的转印夹和电极，确保转印过程凝胶的方向正确</w:t>
            </w:r>
          </w:p>
          <w:p w14:paraId="287653C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20、内置冷却装置，快速吸收转移过程中产生的热量</w:t>
            </w:r>
          </w:p>
          <w:p w14:paraId="45613445">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21、可与垂直电泳槽的缓冲液槽和盖兼容</w:t>
            </w:r>
          </w:p>
          <w:p w14:paraId="1441D54F">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二、配置要求：</w:t>
            </w:r>
          </w:p>
          <w:p w14:paraId="75BFE21C">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一套电泳仪设备包括（1.转印模块1套；2.基础电源1台；3.小型垂直电泳槽1套）</w:t>
            </w:r>
          </w:p>
        </w:tc>
      </w:tr>
    </w:tbl>
    <w:p w14:paraId="19C38F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备注：相关产品已通过进口设备认证，允许供应商提供进口产品</w:t>
      </w:r>
    </w:p>
    <w:p w14:paraId="2640C9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3529C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CC6B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本项目最高限价59900元，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lang w:val="en-US" w:eastAsia="zh-CN" w:bidi="ar-SA"/>
        </w:rPr>
        <w:t>运输装卸费、质保期维护保养费（含易损件更换）、</w:t>
      </w:r>
      <w:r>
        <w:rPr>
          <w:rFonts w:hint="default" w:ascii="方正仿宋_GBK" w:hAnsi="方正仿宋_GBK" w:eastAsia="方正仿宋_GBK" w:cs="方正仿宋_GBK"/>
          <w:b w:val="0"/>
          <w:bCs w:val="0"/>
          <w:color w:val="auto"/>
          <w:kern w:val="0"/>
          <w:sz w:val="32"/>
          <w:szCs w:val="32"/>
          <w:highlight w:val="none"/>
          <w:lang w:val="en-US" w:eastAsia="zh-CN"/>
        </w:rPr>
        <w:t>资料装订及邮寄费、税费、保险费</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default" w:ascii="方正仿宋_GBK" w:hAnsi="方正仿宋_GBK" w:eastAsia="方正仿宋_GBK" w:cs="方正仿宋_GBK"/>
          <w:b w:val="0"/>
          <w:bCs w:val="0"/>
          <w:color w:val="auto"/>
          <w:kern w:val="0"/>
          <w:sz w:val="32"/>
          <w:szCs w:val="32"/>
          <w:highlight w:val="none"/>
          <w:lang w:val="en-US" w:eastAsia="zh-CN"/>
        </w:rPr>
        <w:t>验收检测费等完成本项目所需的一</w:t>
      </w:r>
      <w:r>
        <w:rPr>
          <w:rFonts w:hint="default" w:ascii="方正仿宋_GBK" w:hAnsi="方正仿宋_GBK" w:eastAsia="方正仿宋_GBK" w:cs="方正仿宋_GBK"/>
          <w:color w:val="auto"/>
          <w:kern w:val="0"/>
          <w:sz w:val="32"/>
          <w:szCs w:val="32"/>
          <w:highlight w:val="none"/>
          <w:lang w:val="en-US" w:eastAsia="zh-CN"/>
        </w:rPr>
        <w:t>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D19FCB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本项目要求中选供应商在</w:t>
      </w:r>
      <w:r>
        <w:rPr>
          <w:rFonts w:hint="eastAsia" w:ascii="方正仿宋_GBK" w:hAnsi="方正仿宋_GBK" w:eastAsia="方正仿宋_GBK" w:cs="方正仿宋_GBK"/>
          <w:color w:val="auto"/>
          <w:sz w:val="32"/>
          <w:szCs w:val="32"/>
          <w:highlight w:val="none"/>
          <w:lang w:val="en-US" w:eastAsia="zh-CN"/>
        </w:rPr>
        <w:t>接到采购人通知后7日内</w:t>
      </w:r>
      <w:r>
        <w:rPr>
          <w:rFonts w:hint="eastAsia" w:ascii="方正仿宋_GBK" w:hAnsi="方正仿宋_GBK" w:eastAsia="方正仿宋_GBK" w:cs="方正仿宋_GBK"/>
          <w:color w:val="auto"/>
          <w:sz w:val="32"/>
          <w:szCs w:val="32"/>
          <w:highlight w:val="none"/>
          <w:u w:val="none"/>
          <w:lang w:val="en-US" w:eastAsia="zh-CN"/>
        </w:rPr>
        <w:t>完成送货及安装调试</w:t>
      </w:r>
      <w:r>
        <w:rPr>
          <w:rFonts w:hint="eastAsia" w:ascii="方正仿宋_GBK" w:hAnsi="方正仿宋_GBK" w:eastAsia="方正仿宋_GBK" w:cs="方正仿宋_GBK"/>
          <w:color w:val="auto"/>
          <w:sz w:val="32"/>
          <w:szCs w:val="32"/>
          <w:highlight w:val="none"/>
          <w:lang w:val="en-US" w:eastAsia="zh-CN"/>
        </w:rPr>
        <w:t>，并做到货物、送货单、进口产品报关单、检验检疫报告随货物同行。</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送货单、验收单等。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w:t>
      </w:r>
      <w:r>
        <w:rPr>
          <w:rFonts w:hint="eastAsia" w:ascii="方正仿宋_GBK" w:hAnsi="方正仿宋_GBK" w:eastAsia="方正仿宋_GBK" w:cs="方正仿宋_GBK"/>
          <w:b/>
          <w:bCs/>
          <w:color w:val="auto"/>
          <w:kern w:val="0"/>
          <w:sz w:val="32"/>
          <w:szCs w:val="32"/>
          <w:highlight w:val="none"/>
          <w:lang w:val="en-US" w:eastAsia="zh-CN"/>
        </w:rPr>
        <w:t>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（1）生产日期要求：供应商送货产品须为生产日期1年内的全新产品。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（2）质保要求：质保期不少于1年，质保期内非人为损坏免费更换或维修，维修为原厂配件，并提供易损件单独报价。</w:t>
      </w:r>
    </w:p>
    <w:p w14:paraId="3038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100元违约金；供应商产品质量问题，每次承担1000元违约金，同时承担赔偿责任。项目验收不合格或使用中发现产品质量缺陷，采购人有权要求供应商整改，整改期限为10日，整改期限届满仍未完成的供应商每日支付项目总金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4E1A574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w:t>
      </w:r>
      <w:r>
        <w:rPr>
          <w:rFonts w:hint="eastAsia" w:ascii="方正仿宋_GBK" w:hAnsi="方正仿宋_GBK" w:eastAsia="方正仿宋_GBK" w:cs="方正仿宋_GBK"/>
          <w:b w:val="0"/>
          <w:bCs w:val="0"/>
          <w:color w:val="auto"/>
          <w:kern w:val="0"/>
          <w:sz w:val="32"/>
          <w:szCs w:val="32"/>
          <w:highlight w:val="none"/>
          <w:lang w:val="en-US" w:eastAsia="zh-CN"/>
        </w:rPr>
        <w:t>其他无效响应情况：</w:t>
      </w:r>
      <w:r>
        <w:rPr>
          <w:rFonts w:hint="eastAsia" w:ascii="方正仿宋_GBK" w:hAnsi="方正仿宋_GBK" w:eastAsia="方正仿宋_GBK" w:cs="方正仿宋_GBK"/>
          <w:color w:val="auto"/>
          <w:kern w:val="0"/>
          <w:sz w:val="32"/>
          <w:szCs w:val="32"/>
          <w:highlight w:val="none"/>
          <w:lang w:val="en-US" w:eastAsia="zh-CN"/>
        </w:rPr>
        <w:t>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AC747E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56196472"/>
      <w:bookmarkStart w:id="2" w:name="_Toc237057793"/>
      <w:bookmarkStart w:id="3" w:name="_Toc128014297"/>
      <w:bookmarkStart w:id="4" w:name="_Toc173677399"/>
      <w:bookmarkStart w:id="5" w:name="_Toc128229747"/>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3125"/>
        <w:gridCol w:w="187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361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D8B55EB">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259AB1F">
            <w:pPr>
              <w:spacing w:line="594" w:lineRule="exact"/>
              <w:ind w:firstLine="556" w:firstLineChars="200"/>
              <w:rPr>
                <w:rFonts w:hint="eastAsia" w:ascii="微软雅黑" w:hAnsi="微软雅黑" w:eastAsia="微软雅黑"/>
                <w:sz w:val="30"/>
                <w:szCs w:val="30"/>
                <w:highlight w:val="none"/>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E31839E">
            <w:pPr>
              <w:spacing w:line="594" w:lineRule="exact"/>
              <w:ind w:firstLine="556" w:firstLineChars="200"/>
              <w:rPr>
                <w:rFonts w:hint="eastAsia" w:ascii="微软雅黑" w:hAnsi="微软雅黑" w:eastAsia="微软雅黑"/>
                <w:sz w:val="30"/>
                <w:szCs w:val="30"/>
                <w:highlight w:val="none"/>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C4B1377">
            <w:pPr>
              <w:spacing w:line="594" w:lineRule="exact"/>
              <w:ind w:firstLine="556" w:firstLineChars="200"/>
              <w:rPr>
                <w:rFonts w:hint="eastAsia" w:ascii="微软雅黑" w:hAnsi="微软雅黑" w:eastAsia="微软雅黑"/>
                <w:sz w:val="30"/>
                <w:szCs w:val="30"/>
                <w:highlight w:val="none"/>
              </w:rPr>
            </w:pPr>
          </w:p>
        </w:tc>
      </w:tr>
    </w:tbl>
    <w:p w14:paraId="691BE2B0">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2E132C9"/>
    <w:rsid w:val="03404493"/>
    <w:rsid w:val="03CE68FB"/>
    <w:rsid w:val="041961A8"/>
    <w:rsid w:val="04542823"/>
    <w:rsid w:val="04C70F47"/>
    <w:rsid w:val="04D56197"/>
    <w:rsid w:val="053E0EA6"/>
    <w:rsid w:val="056E5276"/>
    <w:rsid w:val="058D14E6"/>
    <w:rsid w:val="06ED4932"/>
    <w:rsid w:val="06F7130D"/>
    <w:rsid w:val="06FB539B"/>
    <w:rsid w:val="07F82B6D"/>
    <w:rsid w:val="08760957"/>
    <w:rsid w:val="08BF2007"/>
    <w:rsid w:val="09060CCF"/>
    <w:rsid w:val="09135868"/>
    <w:rsid w:val="09EE531D"/>
    <w:rsid w:val="0ABF0394"/>
    <w:rsid w:val="0B5F233D"/>
    <w:rsid w:val="0B993AA9"/>
    <w:rsid w:val="0C714BCF"/>
    <w:rsid w:val="0C872834"/>
    <w:rsid w:val="0C974041"/>
    <w:rsid w:val="0CD36378"/>
    <w:rsid w:val="0CD77F69"/>
    <w:rsid w:val="0CE64C8D"/>
    <w:rsid w:val="0D054001"/>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806FA2"/>
    <w:rsid w:val="1DB61742"/>
    <w:rsid w:val="1F0A567B"/>
    <w:rsid w:val="1F2F00AB"/>
    <w:rsid w:val="2027068C"/>
    <w:rsid w:val="205210D9"/>
    <w:rsid w:val="20746E51"/>
    <w:rsid w:val="20BC3722"/>
    <w:rsid w:val="20EF43DA"/>
    <w:rsid w:val="21426D4A"/>
    <w:rsid w:val="215F0650"/>
    <w:rsid w:val="221D0642"/>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833554"/>
    <w:rsid w:val="2BAE2033"/>
    <w:rsid w:val="2C3529EE"/>
    <w:rsid w:val="2C5002AE"/>
    <w:rsid w:val="2C7B4809"/>
    <w:rsid w:val="2CCA628B"/>
    <w:rsid w:val="2E7B4030"/>
    <w:rsid w:val="2EC27BA3"/>
    <w:rsid w:val="2EEF5DC8"/>
    <w:rsid w:val="2F2148C9"/>
    <w:rsid w:val="2F2F3117"/>
    <w:rsid w:val="2FC44243"/>
    <w:rsid w:val="2FC5794B"/>
    <w:rsid w:val="30291DAF"/>
    <w:rsid w:val="306A297E"/>
    <w:rsid w:val="31092EA8"/>
    <w:rsid w:val="31B12793"/>
    <w:rsid w:val="32C91500"/>
    <w:rsid w:val="33014DF6"/>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6A181A"/>
    <w:rsid w:val="3A800389"/>
    <w:rsid w:val="3AAE5855"/>
    <w:rsid w:val="3B5000A4"/>
    <w:rsid w:val="3C384E8C"/>
    <w:rsid w:val="3C735239"/>
    <w:rsid w:val="3D136199"/>
    <w:rsid w:val="3D485EC4"/>
    <w:rsid w:val="3D8263F7"/>
    <w:rsid w:val="3DBB253E"/>
    <w:rsid w:val="3DE758A5"/>
    <w:rsid w:val="3E490B2A"/>
    <w:rsid w:val="3E9B4AFA"/>
    <w:rsid w:val="3F010273"/>
    <w:rsid w:val="3F5C6F82"/>
    <w:rsid w:val="3F7A35A1"/>
    <w:rsid w:val="3FCA37A3"/>
    <w:rsid w:val="40507E8F"/>
    <w:rsid w:val="40611EDD"/>
    <w:rsid w:val="40B02584"/>
    <w:rsid w:val="410024A8"/>
    <w:rsid w:val="412F2E76"/>
    <w:rsid w:val="41593545"/>
    <w:rsid w:val="429B024B"/>
    <w:rsid w:val="44616288"/>
    <w:rsid w:val="44C5770F"/>
    <w:rsid w:val="44EF71C4"/>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B04DF0"/>
    <w:rsid w:val="5C700ABB"/>
    <w:rsid w:val="5CAE778C"/>
    <w:rsid w:val="5D3F223B"/>
    <w:rsid w:val="5D6C0A93"/>
    <w:rsid w:val="5D915A0E"/>
    <w:rsid w:val="5DBD061A"/>
    <w:rsid w:val="5E3D2C1E"/>
    <w:rsid w:val="5E932E93"/>
    <w:rsid w:val="5FA4498B"/>
    <w:rsid w:val="60480506"/>
    <w:rsid w:val="60643E84"/>
    <w:rsid w:val="61130716"/>
    <w:rsid w:val="61143219"/>
    <w:rsid w:val="6125074A"/>
    <w:rsid w:val="612954E2"/>
    <w:rsid w:val="61707CCC"/>
    <w:rsid w:val="618F69CF"/>
    <w:rsid w:val="61A6052D"/>
    <w:rsid w:val="61CB73F0"/>
    <w:rsid w:val="622334EE"/>
    <w:rsid w:val="623E37BE"/>
    <w:rsid w:val="624943AD"/>
    <w:rsid w:val="626B6216"/>
    <w:rsid w:val="627C183B"/>
    <w:rsid w:val="628B104E"/>
    <w:rsid w:val="63127247"/>
    <w:rsid w:val="635B1617"/>
    <w:rsid w:val="63814C5E"/>
    <w:rsid w:val="63C87B70"/>
    <w:rsid w:val="63FA2F2B"/>
    <w:rsid w:val="64077B7B"/>
    <w:rsid w:val="641D2F42"/>
    <w:rsid w:val="64AF5C1A"/>
    <w:rsid w:val="651C3DE1"/>
    <w:rsid w:val="65AE7F5E"/>
    <w:rsid w:val="66A178F0"/>
    <w:rsid w:val="66E75E1D"/>
    <w:rsid w:val="6712323C"/>
    <w:rsid w:val="671B1623"/>
    <w:rsid w:val="67BC2E06"/>
    <w:rsid w:val="67CF5844"/>
    <w:rsid w:val="67D070E2"/>
    <w:rsid w:val="685314B5"/>
    <w:rsid w:val="685968A7"/>
    <w:rsid w:val="69841E39"/>
    <w:rsid w:val="69D01878"/>
    <w:rsid w:val="69F32F6D"/>
    <w:rsid w:val="69F61ED3"/>
    <w:rsid w:val="6A1F4430"/>
    <w:rsid w:val="6A3540AA"/>
    <w:rsid w:val="6A8B4D12"/>
    <w:rsid w:val="6B247663"/>
    <w:rsid w:val="6BDA6A70"/>
    <w:rsid w:val="6C7D68DC"/>
    <w:rsid w:val="6C90660F"/>
    <w:rsid w:val="6D1F523E"/>
    <w:rsid w:val="6D2728C0"/>
    <w:rsid w:val="6D38732A"/>
    <w:rsid w:val="6DA129BA"/>
    <w:rsid w:val="6DD05A39"/>
    <w:rsid w:val="6E0252EB"/>
    <w:rsid w:val="6E3E2F48"/>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7071</Words>
  <Characters>7394</Characters>
  <Lines>0</Lines>
  <Paragraphs>0</Paragraphs>
  <TotalTime>18</TotalTime>
  <ScaleCrop>false</ScaleCrop>
  <LinksUpToDate>false</LinksUpToDate>
  <CharactersWithSpaces>8072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2026-04-14T02:03:48Z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