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项目名称：单道移液器、电泳仪（第二次）</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项目编号：BSRMYY-YNCG-2026-01016</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bookmarkStart w:id="7" w:name="_GoBack"/>
      <w:bookmarkEnd w:id="7"/>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7D9C3146">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74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25"/>
        <w:gridCol w:w="1455"/>
        <w:gridCol w:w="1425"/>
        <w:gridCol w:w="2220"/>
        <w:gridCol w:w="2220"/>
      </w:tblGrid>
      <w:tr w14:paraId="5C39C4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1" w:hRule="atLeast"/>
          <w:jc w:val="center"/>
        </w:trPr>
        <w:tc>
          <w:tcPr>
            <w:tcW w:w="1083" w:type="pct"/>
            <w:vAlign w:val="center"/>
          </w:tcPr>
          <w:p w14:paraId="0E8C799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778" w:type="pct"/>
            <w:vAlign w:val="center"/>
          </w:tcPr>
          <w:p w14:paraId="4AE8EE67">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762" w:type="pct"/>
            <w:vAlign w:val="center"/>
          </w:tcPr>
          <w:p w14:paraId="2D4E3282">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87" w:type="pct"/>
            <w:vAlign w:val="center"/>
          </w:tcPr>
          <w:p w14:paraId="75EEA601">
            <w:pPr>
              <w:keepNext w:val="0"/>
              <w:keepLines w:val="0"/>
              <w:pageBreakBefore w:val="0"/>
              <w:widowControl/>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187" w:type="pct"/>
            <w:vAlign w:val="center"/>
          </w:tcPr>
          <w:p w14:paraId="68AE7F5E">
            <w:pPr>
              <w:keepNext w:val="0"/>
              <w:keepLines w:val="0"/>
              <w:pageBreakBefore w:val="0"/>
              <w:widowControl/>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合计金额（元）</w:t>
            </w:r>
          </w:p>
        </w:tc>
      </w:tr>
      <w:tr w14:paraId="7B3B53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1" w:hRule="atLeast"/>
          <w:jc w:val="center"/>
        </w:trPr>
        <w:tc>
          <w:tcPr>
            <w:tcW w:w="1083" w:type="pct"/>
            <w:vAlign w:val="center"/>
          </w:tcPr>
          <w:p w14:paraId="3E5754F4">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单道移液器</w:t>
            </w:r>
          </w:p>
        </w:tc>
        <w:tc>
          <w:tcPr>
            <w:tcW w:w="778" w:type="pct"/>
            <w:vAlign w:val="center"/>
          </w:tcPr>
          <w:p w14:paraId="3C1EA46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15</w:t>
            </w:r>
          </w:p>
        </w:tc>
        <w:tc>
          <w:tcPr>
            <w:tcW w:w="762" w:type="pct"/>
            <w:vAlign w:val="center"/>
          </w:tcPr>
          <w:p w14:paraId="63F325F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把</w:t>
            </w:r>
          </w:p>
        </w:tc>
        <w:tc>
          <w:tcPr>
            <w:tcW w:w="1187" w:type="pct"/>
            <w:vAlign w:val="center"/>
          </w:tcPr>
          <w:p w14:paraId="4BAB060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2100</w:t>
            </w:r>
          </w:p>
        </w:tc>
        <w:tc>
          <w:tcPr>
            <w:tcW w:w="1187" w:type="pct"/>
            <w:vMerge w:val="restart"/>
            <w:vAlign w:val="center"/>
          </w:tcPr>
          <w:p w14:paraId="2A6D42E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59900</w:t>
            </w:r>
          </w:p>
        </w:tc>
      </w:tr>
      <w:tr w14:paraId="37E5A8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1" w:hRule="atLeast"/>
          <w:jc w:val="center"/>
        </w:trPr>
        <w:tc>
          <w:tcPr>
            <w:tcW w:w="1083" w:type="pct"/>
            <w:vAlign w:val="center"/>
          </w:tcPr>
          <w:p w14:paraId="6CBB9AD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电泳仪</w:t>
            </w:r>
          </w:p>
        </w:tc>
        <w:tc>
          <w:tcPr>
            <w:tcW w:w="778" w:type="pct"/>
            <w:vAlign w:val="center"/>
          </w:tcPr>
          <w:p w14:paraId="7040F56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762" w:type="pct"/>
            <w:vAlign w:val="center"/>
          </w:tcPr>
          <w:p w14:paraId="44B44DD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套</w:t>
            </w:r>
          </w:p>
        </w:tc>
        <w:tc>
          <w:tcPr>
            <w:tcW w:w="1187" w:type="pct"/>
            <w:vAlign w:val="center"/>
          </w:tcPr>
          <w:p w14:paraId="6C8B2448">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14200</w:t>
            </w:r>
          </w:p>
        </w:tc>
        <w:tc>
          <w:tcPr>
            <w:tcW w:w="1187" w:type="pct"/>
            <w:vMerge w:val="continue"/>
            <w:vAlign w:val="center"/>
          </w:tcPr>
          <w:p w14:paraId="4722AA9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p>
        </w:tc>
      </w:tr>
    </w:tbl>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104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5"/>
        <w:gridCol w:w="3409"/>
        <w:gridCol w:w="5129"/>
      </w:tblGrid>
      <w:tr w14:paraId="2F592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192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3845AC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340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E25D19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推荐品牌（供应商响应品牌应为采购人推荐品牌）</w:t>
            </w:r>
          </w:p>
        </w:tc>
        <w:tc>
          <w:tcPr>
            <w:tcW w:w="512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3584C3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5A043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5" w:hRule="atLeast"/>
          <w:jc w:val="center"/>
        </w:trPr>
        <w:tc>
          <w:tcPr>
            <w:tcW w:w="1925" w:type="dxa"/>
            <w:vMerge w:val="restart"/>
            <w:tcBorders>
              <w:top w:val="single" w:color="auto" w:sz="4" w:space="0"/>
              <w:left w:val="single" w:color="auto" w:sz="4" w:space="0"/>
              <w:bottom w:val="single" w:color="auto" w:sz="4" w:space="0"/>
              <w:right w:val="single" w:color="000000" w:sz="4" w:space="0"/>
            </w:tcBorders>
            <w:shd w:val="clear" w:color="auto" w:fill="FFFFFF"/>
            <w:vAlign w:val="center"/>
          </w:tcPr>
          <w:p w14:paraId="544D5D4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单道移液器</w:t>
            </w:r>
          </w:p>
          <w:p w14:paraId="1422E7AD">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p w14:paraId="6D9C726C">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c>
          <w:tcPr>
            <w:tcW w:w="3409" w:type="dxa"/>
            <w:tcBorders>
              <w:top w:val="single" w:color="auto" w:sz="4" w:space="0"/>
              <w:left w:val="single" w:color="000000" w:sz="4" w:space="0"/>
              <w:bottom w:val="single" w:color="auto" w:sz="4" w:space="0"/>
              <w:right w:val="single" w:color="000000" w:sz="4" w:space="0"/>
            </w:tcBorders>
            <w:shd w:val="clear" w:color="auto" w:fill="FFFFFF"/>
            <w:vAlign w:val="center"/>
          </w:tcPr>
          <w:p w14:paraId="78ECDF1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艾本德（Eppendorf）</w:t>
            </w:r>
          </w:p>
          <w:p w14:paraId="1970F9E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赛默飞</w:t>
            </w:r>
          </w:p>
          <w:p w14:paraId="34AAA65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吉尔森</w:t>
            </w:r>
          </w:p>
        </w:tc>
        <w:tc>
          <w:tcPr>
            <w:tcW w:w="5129" w:type="dxa"/>
            <w:vMerge w:val="restart"/>
            <w:tcBorders>
              <w:top w:val="single" w:color="auto" w:sz="4" w:space="0"/>
              <w:left w:val="single" w:color="000000" w:sz="4" w:space="0"/>
              <w:bottom w:val="single" w:color="auto" w:sz="4" w:space="0"/>
              <w:right w:val="single" w:color="auto" w:sz="4" w:space="0"/>
            </w:tcBorders>
            <w:shd w:val="clear" w:color="auto" w:fill="FFFFFF"/>
            <w:vAlign w:val="center"/>
          </w:tcPr>
          <w:p w14:paraId="1D027663">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 xml:space="preserve">1.重量不超过85g </w:t>
            </w:r>
          </w:p>
          <w:p w14:paraId="0FB830E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2.可整支高温高压灭菌和紫外线灭菌</w:t>
            </w:r>
          </w:p>
          <w:p w14:paraId="46A4D36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 xml:space="preserve">3.伸缩式弹性吸嘴设计，可确保吸头装配的气密性和移液均一性 </w:t>
            </w:r>
          </w:p>
          <w:p w14:paraId="0BE73F87">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 xml:space="preserve">4.密度调节窗口，可适用于甘油、氯化铯等不同密度的液体，通用性更广泛 </w:t>
            </w:r>
          </w:p>
          <w:p w14:paraId="5480B1E4">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 xml:space="preserve">5.四位数字放大体积显示，位置合理，便于移液时观察 </w:t>
            </w:r>
          </w:p>
          <w:p w14:paraId="1FC77A7F">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 xml:space="preserve">6.需坚固耐用，耐高温抗腐蚀的高科技材质 </w:t>
            </w:r>
          </w:p>
          <w:p w14:paraId="0710698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7.高精度：不准确度≤1.4%，不精确度≤0.7%</w:t>
            </w:r>
          </w:p>
          <w:p w14:paraId="3FBB79E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8.具体配置：单道移液器（最大量程分别为2微升*2把、10微升*3把、20微升*3把、100微升*3把、200微升*3把、1000微升*1把）</w:t>
            </w:r>
          </w:p>
        </w:tc>
      </w:tr>
      <w:tr w14:paraId="1FA2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0" w:hRule="atLeast"/>
          <w:jc w:val="center"/>
        </w:trPr>
        <w:tc>
          <w:tcPr>
            <w:tcW w:w="1925" w:type="dxa"/>
            <w:tcBorders>
              <w:top w:val="single" w:color="auto" w:sz="4" w:space="0"/>
              <w:left w:val="single" w:color="auto" w:sz="4" w:space="0"/>
              <w:bottom w:val="single" w:color="auto" w:sz="4" w:space="0"/>
              <w:right w:val="single" w:color="000000" w:sz="4" w:space="0"/>
            </w:tcBorders>
            <w:shd w:val="clear" w:color="auto" w:fill="FFFFFF"/>
            <w:vAlign w:val="center"/>
          </w:tcPr>
          <w:p w14:paraId="1328C6D2">
            <w:pPr>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电泳仪</w:t>
            </w:r>
          </w:p>
          <w:p w14:paraId="45048265">
            <w:pPr>
              <w:jc w:val="center"/>
              <w:rPr>
                <w:rFonts w:hint="eastAsia" w:ascii="方正仿宋_GBK" w:hAnsi="方正仿宋_GBK" w:eastAsia="方正仿宋_GBK" w:cs="方正仿宋_GBK"/>
                <w:b/>
                <w:bCs/>
                <w:kern w:val="0"/>
                <w:sz w:val="28"/>
                <w:szCs w:val="28"/>
                <w:highlight w:val="none"/>
                <w:lang w:val="en-US" w:eastAsia="zh-CN"/>
              </w:rPr>
            </w:pPr>
          </w:p>
        </w:tc>
        <w:tc>
          <w:tcPr>
            <w:tcW w:w="3409" w:type="dxa"/>
            <w:tcBorders>
              <w:top w:val="single" w:color="auto" w:sz="4" w:space="0"/>
              <w:left w:val="single" w:color="000000" w:sz="4" w:space="0"/>
              <w:bottom w:val="single" w:color="auto" w:sz="4" w:space="0"/>
              <w:right w:val="single" w:color="000000" w:sz="4" w:space="0"/>
            </w:tcBorders>
            <w:shd w:val="clear" w:color="auto" w:fill="FFFFFF"/>
            <w:vAlign w:val="center"/>
          </w:tcPr>
          <w:p w14:paraId="70C5C8A5">
            <w:pPr>
              <w:keepNext w:val="0"/>
              <w:keepLines w:val="0"/>
              <w:widowControl/>
              <w:suppressLineNumbers w:val="0"/>
              <w:jc w:val="center"/>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伯乐（Bio-rad）</w:t>
            </w:r>
          </w:p>
          <w:p w14:paraId="6D0B5346">
            <w:pPr>
              <w:keepNext w:val="0"/>
              <w:keepLines w:val="0"/>
              <w:widowControl/>
              <w:suppressLineNumbers w:val="0"/>
              <w:jc w:val="center"/>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赛默飞</w:t>
            </w:r>
          </w:p>
          <w:p w14:paraId="4F7340F2">
            <w:pPr>
              <w:keepNext w:val="0"/>
              <w:keepLines w:val="0"/>
              <w:widowControl/>
              <w:suppressLineNumbers w:val="0"/>
              <w:jc w:val="center"/>
              <w:textAlignment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吉尔森</w:t>
            </w:r>
          </w:p>
        </w:tc>
        <w:tc>
          <w:tcPr>
            <w:tcW w:w="5129" w:type="dxa"/>
            <w:tcBorders>
              <w:top w:val="single" w:color="auto" w:sz="4" w:space="0"/>
              <w:left w:val="single" w:color="000000" w:sz="4" w:space="0"/>
              <w:bottom w:val="single" w:color="auto" w:sz="4" w:space="0"/>
              <w:right w:val="single" w:color="auto" w:sz="4" w:space="0"/>
            </w:tcBorders>
            <w:shd w:val="clear" w:color="auto" w:fill="FFFFFF"/>
            <w:vAlign w:val="center"/>
          </w:tcPr>
          <w:p w14:paraId="058F1D29">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一、垂直电泳系统</w:t>
            </w:r>
          </w:p>
          <w:p w14:paraId="2E08AE79">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1、良好的安全性能，具有空载监测；荷载突变监测；过载/短路监测；过压保护</w:t>
            </w:r>
          </w:p>
          <w:p w14:paraId="51E6FC8B">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2、电源可恒压、恒流输出</w:t>
            </w:r>
          </w:p>
          <w:p w14:paraId="25178BAF">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3、可同时输出电源不低于4组</w:t>
            </w:r>
          </w:p>
          <w:p w14:paraId="14A3E95B">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4、通过国际安全标准—IEC1010-1认证</w:t>
            </w:r>
          </w:p>
          <w:p w14:paraId="34A5EE63">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5、具有断电后自动恢复功能</w:t>
            </w:r>
          </w:p>
          <w:p w14:paraId="523809FD">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6、电源电压范围：约10～300V</w:t>
            </w:r>
          </w:p>
          <w:p w14:paraId="1A64700B">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7、电源电流范围：约4～400mA</w:t>
            </w:r>
          </w:p>
          <w:p w14:paraId="3DD0D30A">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8、电泳槽可同时进行至少4块凝胶电泳</w:t>
            </w:r>
          </w:p>
          <w:p w14:paraId="5776B6C1">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9、胶面积：大于8.2cm X 7.2cm</w:t>
            </w:r>
          </w:p>
          <w:p w14:paraId="04ECA2BB">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10、凝胶厚度选择需包含0.75mm，1mm，1.5mm</w:t>
            </w:r>
          </w:p>
          <w:p w14:paraId="7BB667FD">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11、2块胶缓冲液总体积：700ml±100ml</w:t>
            </w:r>
          </w:p>
          <w:p w14:paraId="79928D93">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12、4块胶缓冲液总体积：1000ml±100ml</w:t>
            </w:r>
          </w:p>
          <w:p w14:paraId="2D70FAA7">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13、长玻璃板具有永久固定的封边垫条</w:t>
            </w:r>
          </w:p>
          <w:p w14:paraId="2B9EC9AA">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14、灌胶架上的弹簧杠杆可在橡胶衬垫上形成良好的密封性，无需用琼脂糖密封</w:t>
            </w:r>
          </w:p>
          <w:p w14:paraId="5A7BB116">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15、电泳槽为注塑一次成形</w:t>
            </w:r>
          </w:p>
          <w:p w14:paraId="532AF5F3">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16、具有上样引导装置</w:t>
            </w:r>
          </w:p>
          <w:p w14:paraId="4453A018">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17、1小时内可同时转印不低于2块7.5×10cm凝胶</w:t>
            </w:r>
          </w:p>
          <w:p w14:paraId="1C88101C">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18、电极丝可产生强电场保证有效的蛋白转印</w:t>
            </w:r>
          </w:p>
          <w:p w14:paraId="0692FD9B">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19、颜色标记的转印夹和电极，确保转印过程凝胶的方向正确</w:t>
            </w:r>
          </w:p>
          <w:p w14:paraId="287653CF">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20、内置冷却装置，快速吸收转移过程中产生的热量</w:t>
            </w:r>
          </w:p>
          <w:p w14:paraId="45613445">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21、可与垂直电泳槽的缓冲液槽和盖兼容</w:t>
            </w:r>
          </w:p>
          <w:p w14:paraId="1441D54F">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二、配置要求：</w:t>
            </w:r>
          </w:p>
          <w:p w14:paraId="75BFE21C">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一套电泳仪设备包括（1.转印模块1套；2.基础电源1台；3.小型垂直电泳槽1套）</w:t>
            </w:r>
          </w:p>
        </w:tc>
      </w:tr>
    </w:tbl>
    <w:p w14:paraId="19C38F7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备注：相关产品已通过进口设备认证，允许供应商提供进口产品</w:t>
      </w:r>
    </w:p>
    <w:p w14:paraId="2640C938">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highlight w:val="none"/>
          <w:lang w:val="en-US" w:eastAsia="zh-CN"/>
        </w:rPr>
      </w:pPr>
    </w:p>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一般资质条件</w:t>
      </w:r>
      <w:r>
        <w:rPr>
          <w:rFonts w:hint="eastAsia" w:ascii="方正仿宋_GBK" w:hAnsi="方正仿宋_GBK" w:eastAsia="方正仿宋_GBK" w:cs="方正仿宋_GBK"/>
          <w:color w:val="auto"/>
          <w:sz w:val="32"/>
          <w:szCs w:val="32"/>
          <w:highlight w:val="none"/>
          <w:lang w:val="en-US" w:eastAsia="zh-CN"/>
        </w:rPr>
        <w:t xml:space="preserve">  </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E3529C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3CC6B3C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本项目最高限价59900元，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w:t>
      </w:r>
      <w:r>
        <w:rPr>
          <w:rFonts w:hint="eastAsia" w:ascii="方正仿宋_GBK" w:hAnsi="方正仿宋_GBK" w:eastAsia="方正仿宋_GBK" w:cs="方正仿宋_GBK"/>
          <w:b w:val="0"/>
          <w:bCs w:val="0"/>
          <w:color w:val="auto"/>
          <w:kern w:val="0"/>
          <w:sz w:val="32"/>
          <w:szCs w:val="32"/>
          <w:highlight w:val="none"/>
          <w:lang w:val="en-US" w:eastAsia="zh-CN"/>
        </w:rPr>
        <w:t>、</w:t>
      </w:r>
      <w:r>
        <w:rPr>
          <w:rFonts w:hint="eastAsia" w:ascii="方正仿宋_GBK" w:hAnsi="方正仿宋_GBK" w:eastAsia="方正仿宋_GBK" w:cs="方正仿宋_GBK"/>
          <w:b w:val="0"/>
          <w:bCs w:val="0"/>
          <w:color w:val="auto"/>
          <w:kern w:val="0"/>
          <w:sz w:val="32"/>
          <w:szCs w:val="32"/>
          <w:highlight w:val="none"/>
          <w:lang w:val="en-US" w:eastAsia="zh-CN" w:bidi="ar-SA"/>
        </w:rPr>
        <w:t>运输装卸费、质保期维护保养费（含易损件更换）、</w:t>
      </w:r>
      <w:r>
        <w:rPr>
          <w:rFonts w:hint="default" w:ascii="方正仿宋_GBK" w:hAnsi="方正仿宋_GBK" w:eastAsia="方正仿宋_GBK" w:cs="方正仿宋_GBK"/>
          <w:b w:val="0"/>
          <w:bCs w:val="0"/>
          <w:color w:val="auto"/>
          <w:kern w:val="0"/>
          <w:sz w:val="32"/>
          <w:szCs w:val="32"/>
          <w:highlight w:val="none"/>
          <w:lang w:val="en-US" w:eastAsia="zh-CN"/>
        </w:rPr>
        <w:t>资料装订及邮寄费、税费、保险费</w:t>
      </w:r>
      <w:r>
        <w:rPr>
          <w:rFonts w:hint="eastAsia" w:ascii="方正仿宋_GBK" w:hAnsi="方正仿宋_GBK" w:eastAsia="方正仿宋_GBK" w:cs="方正仿宋_GBK"/>
          <w:b w:val="0"/>
          <w:bCs w:val="0"/>
          <w:color w:val="auto"/>
          <w:kern w:val="0"/>
          <w:sz w:val="32"/>
          <w:szCs w:val="32"/>
          <w:highlight w:val="none"/>
          <w:lang w:val="en-US" w:eastAsia="zh-CN"/>
        </w:rPr>
        <w:t>、</w:t>
      </w:r>
      <w:r>
        <w:rPr>
          <w:rFonts w:hint="default" w:ascii="方正仿宋_GBK" w:hAnsi="方正仿宋_GBK" w:eastAsia="方正仿宋_GBK" w:cs="方正仿宋_GBK"/>
          <w:b w:val="0"/>
          <w:bCs w:val="0"/>
          <w:color w:val="auto"/>
          <w:kern w:val="0"/>
          <w:sz w:val="32"/>
          <w:szCs w:val="32"/>
          <w:highlight w:val="none"/>
          <w:lang w:val="en-US" w:eastAsia="zh-CN"/>
        </w:rPr>
        <w:t>验收检测费等完成本项目所需的一</w:t>
      </w:r>
      <w:r>
        <w:rPr>
          <w:rFonts w:hint="default" w:ascii="方正仿宋_GBK" w:hAnsi="方正仿宋_GBK" w:eastAsia="方正仿宋_GBK" w:cs="方正仿宋_GBK"/>
          <w:color w:val="auto"/>
          <w:kern w:val="0"/>
          <w:sz w:val="32"/>
          <w:szCs w:val="32"/>
          <w:highlight w:val="none"/>
          <w:lang w:val="en-US" w:eastAsia="zh-CN"/>
        </w:rPr>
        <w:t>切费用。因成交供应商自身原因造成漏报、少报皆由其自行承担责任，采购人不再补偿。</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6D19FCB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本项目要求中选供应商在</w:t>
      </w:r>
      <w:r>
        <w:rPr>
          <w:rFonts w:hint="eastAsia" w:ascii="方正仿宋_GBK" w:hAnsi="方正仿宋_GBK" w:eastAsia="方正仿宋_GBK" w:cs="方正仿宋_GBK"/>
          <w:color w:val="auto"/>
          <w:sz w:val="32"/>
          <w:szCs w:val="32"/>
          <w:highlight w:val="none"/>
          <w:lang w:val="en-US" w:eastAsia="zh-CN"/>
        </w:rPr>
        <w:t>接到采购人通知后7日内</w:t>
      </w:r>
      <w:r>
        <w:rPr>
          <w:rFonts w:hint="eastAsia" w:ascii="方正仿宋_GBK" w:hAnsi="方正仿宋_GBK" w:eastAsia="方正仿宋_GBK" w:cs="方正仿宋_GBK"/>
          <w:color w:val="auto"/>
          <w:sz w:val="32"/>
          <w:szCs w:val="32"/>
          <w:highlight w:val="none"/>
          <w:u w:val="none"/>
          <w:lang w:val="en-US" w:eastAsia="zh-CN"/>
        </w:rPr>
        <w:t>完成送货及安装调试</w:t>
      </w:r>
      <w:r>
        <w:rPr>
          <w:rFonts w:hint="eastAsia" w:ascii="方正仿宋_GBK" w:hAnsi="方正仿宋_GBK" w:eastAsia="方正仿宋_GBK" w:cs="方正仿宋_GBK"/>
          <w:color w:val="auto"/>
          <w:sz w:val="32"/>
          <w:szCs w:val="32"/>
          <w:highlight w:val="none"/>
          <w:lang w:val="en-US" w:eastAsia="zh-CN"/>
        </w:rPr>
        <w:t>，并做到货物、送货单、进口产品报关单、检验检疫报告随货物同行。</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02971B2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据实结算，付款时供应商提供发票、送货单、验收单等。备注：由于璧山区各行政事业单位账户统一在重庆市璧山区财政局开设，采购人验收合格完成支付审批流程后，需向财政局提交资金支付申请，由财政按相关制度逐级审批后完成支付。</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EE9E09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到货后确认产品规格等参数符合招标文件要求作为初步验收，初步验收无异常由供应商进行安装调试，</w:t>
      </w:r>
      <w:r>
        <w:rPr>
          <w:rFonts w:hint="eastAsia" w:ascii="方正仿宋_GBK" w:hAnsi="方正仿宋_GBK" w:eastAsia="方正仿宋_GBK" w:cs="方正仿宋_GBK"/>
          <w:b w:val="0"/>
          <w:bCs w:val="0"/>
          <w:color w:val="auto"/>
          <w:kern w:val="0"/>
          <w:sz w:val="32"/>
          <w:szCs w:val="32"/>
          <w:highlight w:val="none"/>
          <w:lang w:val="en-US" w:eastAsia="zh-CN"/>
        </w:rPr>
        <w:t>安装调试</w:t>
      </w:r>
      <w:r>
        <w:rPr>
          <w:rFonts w:hint="default" w:ascii="方正仿宋_GBK" w:hAnsi="方正仿宋_GBK" w:eastAsia="方正仿宋_GBK" w:cs="方正仿宋_GBK"/>
          <w:color w:val="auto"/>
          <w:kern w:val="0"/>
          <w:sz w:val="32"/>
          <w:szCs w:val="32"/>
          <w:highlight w:val="none"/>
          <w:lang w:val="en-US" w:eastAsia="zh-CN"/>
        </w:rPr>
        <w:t>并试运行1个月</w:t>
      </w:r>
      <w:r>
        <w:rPr>
          <w:rFonts w:hint="eastAsia" w:ascii="方正仿宋_GBK" w:hAnsi="方正仿宋_GBK" w:eastAsia="方正仿宋_GBK" w:cs="方正仿宋_GBK"/>
          <w:b w:val="0"/>
          <w:bCs w:val="0"/>
          <w:color w:val="auto"/>
          <w:kern w:val="0"/>
          <w:sz w:val="32"/>
          <w:szCs w:val="32"/>
          <w:highlight w:val="none"/>
          <w:lang w:val="en-US" w:eastAsia="zh-CN"/>
        </w:rPr>
        <w:t>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6.售后</w:t>
      </w:r>
      <w:r>
        <w:rPr>
          <w:rFonts w:hint="eastAsia" w:ascii="方正仿宋_GBK" w:hAnsi="方正仿宋_GBK" w:eastAsia="方正仿宋_GBK" w:cs="方正仿宋_GBK"/>
          <w:b/>
          <w:bCs/>
          <w:color w:val="auto"/>
          <w:kern w:val="0"/>
          <w:sz w:val="32"/>
          <w:szCs w:val="32"/>
          <w:highlight w:val="none"/>
          <w:lang w:val="en-US" w:eastAsia="zh-CN"/>
        </w:rPr>
        <w:t>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（1）生产日期要求：供应商送货产品须为生产日期1年内的全新产品。</w:t>
      </w:r>
    </w:p>
    <w:p w14:paraId="6E81D2E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（2）质保要求：质保期执行产品说明书（从双方签字验收开始计算），质保期内非人为损坏免费更换或维修，维修为原厂配件，并提供易损件单独报价。</w:t>
      </w:r>
    </w:p>
    <w:p w14:paraId="3038E09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rPr>
        <w:t>（3）故障响应：出现任何质量问题，供应商应30分钟提供电话响应，4小时到达医院处置。</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100元违约金；供应商产品质量问题，每次承担1000元违约金，同时承担赔偿责任。项目验收不合格或使用中发现产品质量缺陷，采购人有权要求供应商整改，整改期限为10日，整改期限届满仍未完成的供应商每日支付项目总金额千分之三的违约金，超过20日未能完成整改，采购人有权解除合同，并要求供应商承担合同总额30%的违约金，已经付款的供应商应全款退还采购人已经支付的款项；未按售后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供应商及其产品、提供服务发生泄漏医院数据及患者隐私事件</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，采购人有权解除合同并要求供应商返还已支付款项并承担合同金额1倍的违约金;⑩使用中发现供应商提供的产品有质量或安全问题供应商未立即整改，采购人有权解除合同并要求供应商承担项目金额2倍违约金;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65AE68E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8.无效响应情况</w:t>
      </w:r>
    </w:p>
    <w:p w14:paraId="501CECC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1.技术参数未提供佐证支撑材料，如技术白皮书、产品说明书、产品彩页宣传、生产厂家官网截图及下载链接网址、第三方检验检测报告的，视为无效投标；</w:t>
      </w:r>
    </w:p>
    <w:p w14:paraId="318409C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2.技术要求对照表未按采购人附件要求标注信息所在具体页码和用下划线标注所在位置（方便采购人及评审专家查阅），视为无效投标；</w:t>
      </w:r>
    </w:p>
    <w:p w14:paraId="41C7229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3.有“*”的参数需要提供供应商加盖鲜章的第三方检测报告，检测报告须完整体现招标文件*参数的检测结果，故意不提供或提供虚假的检测报告页视为无效投标。</w:t>
      </w:r>
    </w:p>
    <w:p w14:paraId="4E1A574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4.响应文件内容不全的，视为无效投标。</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w:t>
      </w:r>
      <w:r>
        <w:rPr>
          <w:rFonts w:hint="eastAsia" w:ascii="方正仿宋_GBK" w:hAnsi="方正仿宋_GBK" w:eastAsia="方正仿宋_GBK" w:cs="方正仿宋_GBK"/>
          <w:b w:val="0"/>
          <w:bCs w:val="0"/>
          <w:color w:val="auto"/>
          <w:kern w:val="0"/>
          <w:sz w:val="32"/>
          <w:szCs w:val="32"/>
          <w:highlight w:val="none"/>
          <w:lang w:val="en-US" w:eastAsia="zh-CN"/>
        </w:rPr>
        <w:t>其他无效响应情况：</w:t>
      </w:r>
      <w:r>
        <w:rPr>
          <w:rFonts w:hint="eastAsia" w:ascii="方正仿宋_GBK" w:hAnsi="方正仿宋_GBK" w:eastAsia="方正仿宋_GBK" w:cs="方正仿宋_GBK"/>
          <w:color w:val="auto"/>
          <w:kern w:val="0"/>
          <w:sz w:val="32"/>
          <w:szCs w:val="32"/>
          <w:highlight w:val="none"/>
          <w:lang w:val="en-US" w:eastAsia="zh-CN"/>
        </w:rPr>
        <w:t>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3AC747E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5017344"/>
      <w:bookmarkStart w:id="1" w:name="_Toc156196472"/>
      <w:bookmarkStart w:id="2" w:name="_Toc237057793"/>
      <w:bookmarkStart w:id="3" w:name="_Toc128014297"/>
      <w:bookmarkStart w:id="4" w:name="_Toc128229747"/>
      <w:bookmarkStart w:id="5" w:name="_Toc128229304"/>
      <w:bookmarkStart w:id="6" w:name="_Toc173677399"/>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3125"/>
        <w:gridCol w:w="187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125"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3125"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3125"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3125"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3125"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3125"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3125"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3125"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3125"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r w14:paraId="3615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D8B55EB">
            <w:pPr>
              <w:spacing w:line="594" w:lineRule="exact"/>
              <w:rPr>
                <w:rFonts w:hint="eastAsia" w:ascii="微软雅黑" w:hAnsi="微软雅黑" w:eastAsia="微软雅黑" w:cs="宋体"/>
                <w:sz w:val="30"/>
                <w:szCs w:val="30"/>
                <w:highlight w:val="none"/>
                <w:lang w:val="en-US" w:eastAsia="zh-CN"/>
              </w:rPr>
            </w:pPr>
            <w:r>
              <w:rPr>
                <w:rFonts w:hint="eastAsia" w:ascii="微软雅黑" w:hAnsi="微软雅黑" w:eastAsia="微软雅黑" w:cs="宋体"/>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259AB1F">
            <w:pPr>
              <w:spacing w:line="594" w:lineRule="exact"/>
              <w:ind w:firstLine="556" w:firstLineChars="200"/>
              <w:rPr>
                <w:rFonts w:hint="eastAsia" w:ascii="微软雅黑" w:hAnsi="微软雅黑" w:eastAsia="微软雅黑"/>
                <w:sz w:val="30"/>
                <w:szCs w:val="30"/>
                <w:highlight w:val="none"/>
              </w:rPr>
            </w:pPr>
          </w:p>
        </w:tc>
        <w:tc>
          <w:tcPr>
            <w:tcW w:w="3125" w:type="dxa"/>
            <w:tcBorders>
              <w:top w:val="single" w:color="auto" w:sz="4" w:space="0"/>
              <w:left w:val="single" w:color="auto" w:sz="4" w:space="0"/>
              <w:bottom w:val="single" w:color="auto" w:sz="4" w:space="0"/>
              <w:right w:val="single" w:color="auto" w:sz="4" w:space="0"/>
            </w:tcBorders>
            <w:noWrap w:val="0"/>
            <w:vAlign w:val="center"/>
          </w:tcPr>
          <w:p w14:paraId="4E31839E">
            <w:pPr>
              <w:spacing w:line="594" w:lineRule="exact"/>
              <w:ind w:firstLine="556" w:firstLineChars="200"/>
              <w:rPr>
                <w:rFonts w:hint="eastAsia" w:ascii="微软雅黑" w:hAnsi="微软雅黑" w:eastAsia="微软雅黑"/>
                <w:sz w:val="30"/>
                <w:szCs w:val="30"/>
                <w:highlight w:val="none"/>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0C4B1377">
            <w:pPr>
              <w:spacing w:line="594" w:lineRule="exact"/>
              <w:ind w:firstLine="556" w:firstLineChars="200"/>
              <w:rPr>
                <w:rFonts w:hint="eastAsia" w:ascii="微软雅黑" w:hAnsi="微软雅黑" w:eastAsia="微软雅黑"/>
                <w:sz w:val="30"/>
                <w:szCs w:val="30"/>
                <w:highlight w:val="none"/>
              </w:rPr>
            </w:pPr>
          </w:p>
        </w:tc>
      </w:tr>
    </w:tbl>
    <w:p w14:paraId="691BE2B0">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w:t>
      </w:r>
      <w:r>
        <w:rPr>
          <w:rFonts w:hint="eastAsia" w:ascii="微软雅黑" w:hAnsi="微软雅黑" w:eastAsia="微软雅黑" w:cs="___WRD_EMBED_SUB_53"/>
          <w:b/>
          <w:bCs/>
          <w:sz w:val="30"/>
          <w:szCs w:val="30"/>
          <w:highlight w:val="none"/>
        </w:rPr>
        <w:t>全部内</w:t>
      </w:r>
      <w:r>
        <w:rPr>
          <w:rFonts w:hint="eastAsia" w:ascii="微软雅黑" w:hAnsi="微软雅黑" w:eastAsia="微软雅黑" w:cs="宋体"/>
          <w:b/>
          <w:bCs/>
          <w:sz w:val="30"/>
          <w:szCs w:val="30"/>
          <w:highlight w:val="none"/>
        </w:rPr>
        <w:t>容</w:t>
      </w:r>
      <w:r>
        <w:rPr>
          <w:rFonts w:hint="eastAsia" w:ascii="微软雅黑" w:hAnsi="微软雅黑" w:eastAsia="微软雅黑" w:cs="宋体"/>
          <w:b/>
          <w:bCs/>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42746"/>
    <w:rsid w:val="015B6D6E"/>
    <w:rsid w:val="02337D11"/>
    <w:rsid w:val="02E132C9"/>
    <w:rsid w:val="03404493"/>
    <w:rsid w:val="03CE68FB"/>
    <w:rsid w:val="041961A8"/>
    <w:rsid w:val="04542823"/>
    <w:rsid w:val="04C70F47"/>
    <w:rsid w:val="04D56197"/>
    <w:rsid w:val="053E0EA6"/>
    <w:rsid w:val="056E5276"/>
    <w:rsid w:val="058D14E6"/>
    <w:rsid w:val="06ED4932"/>
    <w:rsid w:val="06F7130D"/>
    <w:rsid w:val="06FB539B"/>
    <w:rsid w:val="07F82B6D"/>
    <w:rsid w:val="08760957"/>
    <w:rsid w:val="08BF2007"/>
    <w:rsid w:val="09060CCF"/>
    <w:rsid w:val="09135868"/>
    <w:rsid w:val="09EE531D"/>
    <w:rsid w:val="0ABF0394"/>
    <w:rsid w:val="0B5F233D"/>
    <w:rsid w:val="0B993AA9"/>
    <w:rsid w:val="0C714BCF"/>
    <w:rsid w:val="0C872834"/>
    <w:rsid w:val="0C974041"/>
    <w:rsid w:val="0CD36378"/>
    <w:rsid w:val="0CD77F69"/>
    <w:rsid w:val="0CE64C8D"/>
    <w:rsid w:val="0D054001"/>
    <w:rsid w:val="0DC857B1"/>
    <w:rsid w:val="0DF02F5A"/>
    <w:rsid w:val="0E440BB0"/>
    <w:rsid w:val="0E6637FD"/>
    <w:rsid w:val="0E6753E5"/>
    <w:rsid w:val="0E9F1F75"/>
    <w:rsid w:val="0EAE2BD9"/>
    <w:rsid w:val="0EB67D00"/>
    <w:rsid w:val="0F4D0AAA"/>
    <w:rsid w:val="0F8419BC"/>
    <w:rsid w:val="0F851480"/>
    <w:rsid w:val="0F9718DF"/>
    <w:rsid w:val="0FA0747C"/>
    <w:rsid w:val="0FD01451"/>
    <w:rsid w:val="107734BE"/>
    <w:rsid w:val="109113A8"/>
    <w:rsid w:val="116E3FA7"/>
    <w:rsid w:val="11A55E09"/>
    <w:rsid w:val="122D0B62"/>
    <w:rsid w:val="123245B3"/>
    <w:rsid w:val="12E91297"/>
    <w:rsid w:val="133D5E0A"/>
    <w:rsid w:val="13AF13FA"/>
    <w:rsid w:val="153C16E7"/>
    <w:rsid w:val="15D4217A"/>
    <w:rsid w:val="18554231"/>
    <w:rsid w:val="18EC242C"/>
    <w:rsid w:val="1922346A"/>
    <w:rsid w:val="19380134"/>
    <w:rsid w:val="197A1B82"/>
    <w:rsid w:val="1A00445C"/>
    <w:rsid w:val="1AAE2C67"/>
    <w:rsid w:val="1AF86BE0"/>
    <w:rsid w:val="1B3306B6"/>
    <w:rsid w:val="1B3C333B"/>
    <w:rsid w:val="1BDE0896"/>
    <w:rsid w:val="1C1979BC"/>
    <w:rsid w:val="1C5E79A5"/>
    <w:rsid w:val="1C6472FC"/>
    <w:rsid w:val="1CE4012E"/>
    <w:rsid w:val="1CF00EFC"/>
    <w:rsid w:val="1D0B48F2"/>
    <w:rsid w:val="1D806FA2"/>
    <w:rsid w:val="1DB61742"/>
    <w:rsid w:val="1F0A567B"/>
    <w:rsid w:val="1F2F00AB"/>
    <w:rsid w:val="2027068C"/>
    <w:rsid w:val="205210D9"/>
    <w:rsid w:val="20746E51"/>
    <w:rsid w:val="20BC3722"/>
    <w:rsid w:val="20EF43DA"/>
    <w:rsid w:val="21426D4A"/>
    <w:rsid w:val="215F0650"/>
    <w:rsid w:val="221D0642"/>
    <w:rsid w:val="22965A26"/>
    <w:rsid w:val="233D75DC"/>
    <w:rsid w:val="236757CC"/>
    <w:rsid w:val="23C774B3"/>
    <w:rsid w:val="23FB11F4"/>
    <w:rsid w:val="25FE211B"/>
    <w:rsid w:val="2657371E"/>
    <w:rsid w:val="276B6809"/>
    <w:rsid w:val="28256D6A"/>
    <w:rsid w:val="28275AF0"/>
    <w:rsid w:val="28550493"/>
    <w:rsid w:val="28EC134D"/>
    <w:rsid w:val="29AE2A56"/>
    <w:rsid w:val="2A7D5BEF"/>
    <w:rsid w:val="2AC62C21"/>
    <w:rsid w:val="2AF66A43"/>
    <w:rsid w:val="2B19589B"/>
    <w:rsid w:val="2B833554"/>
    <w:rsid w:val="2BAE2033"/>
    <w:rsid w:val="2C3529EE"/>
    <w:rsid w:val="2C5002AE"/>
    <w:rsid w:val="2C7B4809"/>
    <w:rsid w:val="2CCA628B"/>
    <w:rsid w:val="2E7B4030"/>
    <w:rsid w:val="2EC27BA3"/>
    <w:rsid w:val="2EEF5DC8"/>
    <w:rsid w:val="2F2148C9"/>
    <w:rsid w:val="2F2F3117"/>
    <w:rsid w:val="2FC44243"/>
    <w:rsid w:val="2FC5794B"/>
    <w:rsid w:val="30291DAF"/>
    <w:rsid w:val="306A297E"/>
    <w:rsid w:val="31092EA8"/>
    <w:rsid w:val="31B12793"/>
    <w:rsid w:val="32C91500"/>
    <w:rsid w:val="33014DF6"/>
    <w:rsid w:val="33D97E69"/>
    <w:rsid w:val="33FB61AD"/>
    <w:rsid w:val="342C6BC9"/>
    <w:rsid w:val="348E0C53"/>
    <w:rsid w:val="35216558"/>
    <w:rsid w:val="35761799"/>
    <w:rsid w:val="359B4383"/>
    <w:rsid w:val="35B94105"/>
    <w:rsid w:val="360845B7"/>
    <w:rsid w:val="36857E34"/>
    <w:rsid w:val="36ED77AA"/>
    <w:rsid w:val="376E6279"/>
    <w:rsid w:val="3774671E"/>
    <w:rsid w:val="38A14340"/>
    <w:rsid w:val="38F30332"/>
    <w:rsid w:val="396A2364"/>
    <w:rsid w:val="3996258D"/>
    <w:rsid w:val="3A6A181A"/>
    <w:rsid w:val="3A800389"/>
    <w:rsid w:val="3AAE5855"/>
    <w:rsid w:val="3B5000A4"/>
    <w:rsid w:val="3C384E8C"/>
    <w:rsid w:val="3C735239"/>
    <w:rsid w:val="3D136199"/>
    <w:rsid w:val="3D485EC4"/>
    <w:rsid w:val="3D8263F7"/>
    <w:rsid w:val="3DBB253E"/>
    <w:rsid w:val="3DE758A5"/>
    <w:rsid w:val="3E490B2A"/>
    <w:rsid w:val="3E9B4AFA"/>
    <w:rsid w:val="3F010273"/>
    <w:rsid w:val="3F5C6F82"/>
    <w:rsid w:val="3F7A35A1"/>
    <w:rsid w:val="3FCA37A3"/>
    <w:rsid w:val="40507E8F"/>
    <w:rsid w:val="40611EDD"/>
    <w:rsid w:val="40B02584"/>
    <w:rsid w:val="410024A8"/>
    <w:rsid w:val="412F2E76"/>
    <w:rsid w:val="41593545"/>
    <w:rsid w:val="429B024B"/>
    <w:rsid w:val="44616288"/>
    <w:rsid w:val="44C5770F"/>
    <w:rsid w:val="44EF71C4"/>
    <w:rsid w:val="46452166"/>
    <w:rsid w:val="46F74436"/>
    <w:rsid w:val="474B1D32"/>
    <w:rsid w:val="475D7492"/>
    <w:rsid w:val="47CA56A6"/>
    <w:rsid w:val="47D66741"/>
    <w:rsid w:val="482D6FF9"/>
    <w:rsid w:val="48832656"/>
    <w:rsid w:val="48A66FE8"/>
    <w:rsid w:val="48B14AB8"/>
    <w:rsid w:val="496140CE"/>
    <w:rsid w:val="49995C78"/>
    <w:rsid w:val="4AE139DB"/>
    <w:rsid w:val="4B2941E0"/>
    <w:rsid w:val="4BDB0A24"/>
    <w:rsid w:val="4BE156B5"/>
    <w:rsid w:val="4C31315D"/>
    <w:rsid w:val="4D4C6AB3"/>
    <w:rsid w:val="4DC82688"/>
    <w:rsid w:val="4EF37BD9"/>
    <w:rsid w:val="4F1E4F93"/>
    <w:rsid w:val="4F2E29BF"/>
    <w:rsid w:val="4F6D75ED"/>
    <w:rsid w:val="51352B6B"/>
    <w:rsid w:val="51497F84"/>
    <w:rsid w:val="518C604A"/>
    <w:rsid w:val="51A72EFC"/>
    <w:rsid w:val="52181704"/>
    <w:rsid w:val="52D53472"/>
    <w:rsid w:val="53A17F68"/>
    <w:rsid w:val="53D8739D"/>
    <w:rsid w:val="53DB6C22"/>
    <w:rsid w:val="53FB2F26"/>
    <w:rsid w:val="541D6876"/>
    <w:rsid w:val="54316AAD"/>
    <w:rsid w:val="54B6568B"/>
    <w:rsid w:val="55085A60"/>
    <w:rsid w:val="55BB5978"/>
    <w:rsid w:val="58A5671E"/>
    <w:rsid w:val="59343196"/>
    <w:rsid w:val="599E0097"/>
    <w:rsid w:val="5A201514"/>
    <w:rsid w:val="5ADB7D78"/>
    <w:rsid w:val="5BB04DF0"/>
    <w:rsid w:val="5C700ABB"/>
    <w:rsid w:val="5CAE778C"/>
    <w:rsid w:val="5D3F223B"/>
    <w:rsid w:val="5D6C0A93"/>
    <w:rsid w:val="5D915A0E"/>
    <w:rsid w:val="5DBD061A"/>
    <w:rsid w:val="5E3D2C1E"/>
    <w:rsid w:val="5E932E93"/>
    <w:rsid w:val="5FA4498B"/>
    <w:rsid w:val="60480506"/>
    <w:rsid w:val="60643E84"/>
    <w:rsid w:val="61130716"/>
    <w:rsid w:val="61143219"/>
    <w:rsid w:val="6125074A"/>
    <w:rsid w:val="612954E2"/>
    <w:rsid w:val="61707CCC"/>
    <w:rsid w:val="618F69CF"/>
    <w:rsid w:val="61A6052D"/>
    <w:rsid w:val="61CB73F0"/>
    <w:rsid w:val="622334EE"/>
    <w:rsid w:val="623E37BE"/>
    <w:rsid w:val="624943AD"/>
    <w:rsid w:val="626B6216"/>
    <w:rsid w:val="627C183B"/>
    <w:rsid w:val="628B104E"/>
    <w:rsid w:val="635B1617"/>
    <w:rsid w:val="63814C5E"/>
    <w:rsid w:val="63C87B70"/>
    <w:rsid w:val="63FA2F2B"/>
    <w:rsid w:val="64077B7B"/>
    <w:rsid w:val="641D2F42"/>
    <w:rsid w:val="64AF5C1A"/>
    <w:rsid w:val="651C3DE1"/>
    <w:rsid w:val="65AE7F5E"/>
    <w:rsid w:val="66A178F0"/>
    <w:rsid w:val="66E75E1D"/>
    <w:rsid w:val="6712323C"/>
    <w:rsid w:val="671B1623"/>
    <w:rsid w:val="67BC2E06"/>
    <w:rsid w:val="67CF5844"/>
    <w:rsid w:val="67D070E2"/>
    <w:rsid w:val="685314B5"/>
    <w:rsid w:val="685968A7"/>
    <w:rsid w:val="69841E39"/>
    <w:rsid w:val="69D01878"/>
    <w:rsid w:val="69F32F6D"/>
    <w:rsid w:val="69F61ED3"/>
    <w:rsid w:val="6A1F4430"/>
    <w:rsid w:val="6A3540AA"/>
    <w:rsid w:val="6A8B4D12"/>
    <w:rsid w:val="6B247663"/>
    <w:rsid w:val="6BDA6A70"/>
    <w:rsid w:val="6C7D68DC"/>
    <w:rsid w:val="6C90660F"/>
    <w:rsid w:val="6D1F523E"/>
    <w:rsid w:val="6D2728C0"/>
    <w:rsid w:val="6D38732A"/>
    <w:rsid w:val="6DA129BA"/>
    <w:rsid w:val="6DD05A39"/>
    <w:rsid w:val="6E0252EB"/>
    <w:rsid w:val="6E3E2F48"/>
    <w:rsid w:val="6EC6360F"/>
    <w:rsid w:val="6EE24C47"/>
    <w:rsid w:val="6F9E4E89"/>
    <w:rsid w:val="6FB940CF"/>
    <w:rsid w:val="704D7FCB"/>
    <w:rsid w:val="70FD7FEB"/>
    <w:rsid w:val="71025602"/>
    <w:rsid w:val="712B71E9"/>
    <w:rsid w:val="713118C3"/>
    <w:rsid w:val="71A165C4"/>
    <w:rsid w:val="71C02C3F"/>
    <w:rsid w:val="727B2178"/>
    <w:rsid w:val="72BB5C94"/>
    <w:rsid w:val="72FB7C35"/>
    <w:rsid w:val="732B3BA9"/>
    <w:rsid w:val="740F250F"/>
    <w:rsid w:val="74463A57"/>
    <w:rsid w:val="74664EBC"/>
    <w:rsid w:val="748E4735"/>
    <w:rsid w:val="749649DF"/>
    <w:rsid w:val="74A2126A"/>
    <w:rsid w:val="74EA3555"/>
    <w:rsid w:val="750F77E4"/>
    <w:rsid w:val="7521074C"/>
    <w:rsid w:val="761A5C47"/>
    <w:rsid w:val="76320737"/>
    <w:rsid w:val="76DD4F9D"/>
    <w:rsid w:val="774B1AB0"/>
    <w:rsid w:val="777A05E8"/>
    <w:rsid w:val="779416A9"/>
    <w:rsid w:val="77DC750A"/>
    <w:rsid w:val="77FA34D6"/>
    <w:rsid w:val="78024143"/>
    <w:rsid w:val="78F42BEF"/>
    <w:rsid w:val="78F54CD1"/>
    <w:rsid w:val="79224A93"/>
    <w:rsid w:val="799B64FC"/>
    <w:rsid w:val="79E31F2E"/>
    <w:rsid w:val="7A574C10"/>
    <w:rsid w:val="7ACF7754"/>
    <w:rsid w:val="7AF0174A"/>
    <w:rsid w:val="7B203254"/>
    <w:rsid w:val="7B537186"/>
    <w:rsid w:val="7B5B245B"/>
    <w:rsid w:val="7B5C1973"/>
    <w:rsid w:val="7B6018A2"/>
    <w:rsid w:val="7BA14395"/>
    <w:rsid w:val="7BDE27F0"/>
    <w:rsid w:val="7C4A1FD6"/>
    <w:rsid w:val="7C6F2CF1"/>
    <w:rsid w:val="7C6F561D"/>
    <w:rsid w:val="7CAD6D69"/>
    <w:rsid w:val="7CB244A3"/>
    <w:rsid w:val="7E205444"/>
    <w:rsid w:val="7E8C71A6"/>
    <w:rsid w:val="7E9A0AAB"/>
    <w:rsid w:val="7EA6506C"/>
    <w:rsid w:val="7EE67CE4"/>
    <w:rsid w:val="7F092632"/>
    <w:rsid w:val="7F707618"/>
    <w:rsid w:val="7F8D69DE"/>
    <w:rsid w:val="7F954211"/>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7066</Words>
  <Characters>7389</Characters>
  <Lines>0</Lines>
  <Paragraphs>0</Paragraphs>
  <TotalTime>5</TotalTime>
  <ScaleCrop>false</ScaleCrop>
  <LinksUpToDate>false</LinksUpToDate>
  <CharactersWithSpaces>8067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2026-04-01T09:06:28Z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03093CE49819475D83DC9510A5CE286A_13</vt:lpwstr>
  </property>
  <property fmtid="{D5CDD505-2E9C-101B-9397-08002B2CF9AE}" pid="4" name="KSOTemplateDocerSaveRecord">
    <vt:lpwstr>eyJoZGlkIjoiNzdkNTM4MTkwYTE0Yjk0Y2Y4MjVlZDcwOGViZTQwYjIiLCJ1c2VySWQiOiIxMTc2NDE1MTk0In0=</vt:lpwstr>
  </property>
</Properties>
</file>